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030" w:rsidRPr="00CF1B00" w:rsidRDefault="00947D12" w:rsidP="00D31030">
      <w:pPr>
        <w:jc w:val="center"/>
        <w:outlineLvl w:val="0"/>
        <w:rPr>
          <w:rFonts w:eastAsia="MS Mincho" w:cs="Arial"/>
          <w:b/>
        </w:rPr>
      </w:pPr>
      <w:r>
        <w:rPr>
          <w:rFonts w:eastAsia="MS Mincho" w:cs="Arial"/>
          <w:b/>
        </w:rPr>
        <w:t>‘</w:t>
      </w:r>
      <w:r w:rsidR="00D31030" w:rsidRPr="00CF1B00">
        <w:rPr>
          <w:rFonts w:eastAsia="MS Mincho" w:cs="Arial"/>
          <w:b/>
        </w:rPr>
        <w:t>SCHEDULE 2 – THE SERVICES</w:t>
      </w:r>
    </w:p>
    <w:p w:rsidR="00D31030" w:rsidRPr="00CF1B00" w:rsidRDefault="00D31030" w:rsidP="00D31030">
      <w:pPr>
        <w:widowControl w:val="0"/>
        <w:jc w:val="center"/>
        <w:rPr>
          <w:rFonts w:eastAsia="MS Mincho" w:cs="Arial"/>
          <w:b/>
          <w:bCs w:val="0"/>
          <w:lang w:val="en-US" w:eastAsia="ja-JP"/>
        </w:rPr>
      </w:pPr>
    </w:p>
    <w:p w:rsidR="00D31030" w:rsidRPr="00CF1B00" w:rsidRDefault="00D31030" w:rsidP="00D31030">
      <w:pPr>
        <w:numPr>
          <w:ilvl w:val="0"/>
          <w:numId w:val="2"/>
        </w:numPr>
        <w:contextualSpacing/>
        <w:jc w:val="center"/>
        <w:outlineLvl w:val="1"/>
        <w:rPr>
          <w:rFonts w:cs="Arial"/>
          <w:b/>
          <w:lang w:eastAsia="en-GB"/>
        </w:rPr>
      </w:pPr>
      <w:bookmarkStart w:id="0" w:name="_Toc343591382"/>
      <w:r w:rsidRPr="00CF1B00">
        <w:rPr>
          <w:rFonts w:cs="Arial"/>
          <w:b/>
          <w:lang w:eastAsia="en-GB"/>
        </w:rPr>
        <w:t>Service Specifications</w:t>
      </w:r>
      <w:bookmarkEnd w:id="0"/>
    </w:p>
    <w:p w:rsidR="00D31030" w:rsidRPr="00CF1B00" w:rsidRDefault="00D31030" w:rsidP="00D31030">
      <w:pPr>
        <w:jc w:val="both"/>
        <w:rPr>
          <w:rFonts w:eastAsia="MS Mincho" w:cs="Arial"/>
          <w:lang w:val="en-US" w:eastAsia="ja-JP"/>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chedule 2A Service Specification"/>
      </w:tblPr>
      <w:tblGrid>
        <w:gridCol w:w="2970"/>
        <w:gridCol w:w="5444"/>
      </w:tblGrid>
      <w:tr w:rsidR="00D31030" w:rsidRPr="00CF1B00" w:rsidTr="007D0835">
        <w:tc>
          <w:tcPr>
            <w:tcW w:w="2970" w:type="dxa"/>
            <w:shd w:val="clear" w:color="auto" w:fill="333300"/>
          </w:tcPr>
          <w:p w:rsidR="00D31030" w:rsidRPr="003F6BE2" w:rsidRDefault="00D31030" w:rsidP="007D0835">
            <w:pPr>
              <w:rPr>
                <w:rFonts w:eastAsia="MS Mincho" w:cs="Arial"/>
                <w:b/>
                <w:color w:val="FF9900"/>
                <w:lang w:val="en-US" w:eastAsia="ja-JP"/>
              </w:rPr>
            </w:pPr>
            <w:r w:rsidRPr="003F6BE2">
              <w:rPr>
                <w:rFonts w:eastAsia="MS Mincho" w:cs="Arial"/>
                <w:b/>
                <w:color w:val="FF9900"/>
                <w:lang w:val="en-US" w:eastAsia="ja-JP"/>
              </w:rPr>
              <w:t>Service Specification No.</w:t>
            </w:r>
          </w:p>
        </w:tc>
        <w:tc>
          <w:tcPr>
            <w:tcW w:w="5444" w:type="dxa"/>
            <w:shd w:val="clear" w:color="auto" w:fill="auto"/>
          </w:tcPr>
          <w:p w:rsidR="00D31030" w:rsidRPr="003F6BE2" w:rsidRDefault="00D31030" w:rsidP="007D0835">
            <w:pPr>
              <w:rPr>
                <w:rFonts w:eastAsia="MS Mincho" w:cs="Arial"/>
                <w:sz w:val="20"/>
                <w:szCs w:val="20"/>
                <w:lang w:val="en-US" w:eastAsia="ja-JP"/>
              </w:rPr>
            </w:pPr>
          </w:p>
        </w:tc>
      </w:tr>
      <w:tr w:rsidR="00D31030" w:rsidRPr="00CF1B00" w:rsidTr="007D0835">
        <w:tc>
          <w:tcPr>
            <w:tcW w:w="2970" w:type="dxa"/>
            <w:shd w:val="clear" w:color="auto" w:fill="333300"/>
          </w:tcPr>
          <w:p w:rsidR="00D31030" w:rsidRPr="003F6BE2" w:rsidRDefault="00D31030" w:rsidP="007D0835">
            <w:pPr>
              <w:rPr>
                <w:rFonts w:eastAsia="MS Mincho" w:cs="Arial"/>
                <w:b/>
                <w:color w:val="FF9900"/>
                <w:lang w:val="en-US" w:eastAsia="ja-JP"/>
              </w:rPr>
            </w:pPr>
            <w:r w:rsidRPr="003F6BE2">
              <w:rPr>
                <w:rFonts w:eastAsia="MS Mincho" w:cs="Arial"/>
                <w:b/>
                <w:color w:val="FF9900"/>
                <w:lang w:val="en-US" w:eastAsia="ja-JP"/>
              </w:rPr>
              <w:t>Service</w:t>
            </w:r>
          </w:p>
        </w:tc>
        <w:tc>
          <w:tcPr>
            <w:tcW w:w="5444" w:type="dxa"/>
            <w:shd w:val="clear" w:color="auto" w:fill="auto"/>
          </w:tcPr>
          <w:p w:rsidR="00D31030" w:rsidRPr="003F6BE2" w:rsidRDefault="00D31030" w:rsidP="007D0835">
            <w:pPr>
              <w:rPr>
                <w:rFonts w:eastAsia="MS Mincho" w:cs="Arial"/>
                <w:sz w:val="20"/>
                <w:szCs w:val="20"/>
                <w:lang w:val="en-US" w:eastAsia="ja-JP"/>
              </w:rPr>
            </w:pPr>
            <w:r w:rsidRPr="003F6BE2">
              <w:rPr>
                <w:rFonts w:cs="Arial"/>
                <w:sz w:val="20"/>
                <w:szCs w:val="20"/>
              </w:rPr>
              <w:t>Non-Contraceptive Use of Intrauterine Systems (IUSs)</w:t>
            </w:r>
          </w:p>
        </w:tc>
      </w:tr>
      <w:tr w:rsidR="00D31030" w:rsidRPr="00CF1B00" w:rsidTr="007D0835">
        <w:tc>
          <w:tcPr>
            <w:tcW w:w="2970" w:type="dxa"/>
            <w:shd w:val="clear" w:color="auto" w:fill="333300"/>
          </w:tcPr>
          <w:p w:rsidR="00D31030" w:rsidRPr="003F6BE2" w:rsidRDefault="00D31030" w:rsidP="007D0835">
            <w:pPr>
              <w:rPr>
                <w:rFonts w:eastAsia="MS Mincho" w:cs="Arial"/>
                <w:b/>
                <w:color w:val="FF9900"/>
                <w:lang w:val="en-US" w:eastAsia="ja-JP"/>
              </w:rPr>
            </w:pPr>
            <w:r w:rsidRPr="003F6BE2">
              <w:rPr>
                <w:rFonts w:eastAsia="MS Mincho" w:cs="Arial"/>
                <w:b/>
                <w:color w:val="FF9900"/>
                <w:lang w:val="en-US" w:eastAsia="ja-JP"/>
              </w:rPr>
              <w:t>Commissioner Lead</w:t>
            </w:r>
          </w:p>
        </w:tc>
        <w:tc>
          <w:tcPr>
            <w:tcW w:w="5444" w:type="dxa"/>
            <w:shd w:val="clear" w:color="auto" w:fill="auto"/>
          </w:tcPr>
          <w:p w:rsidR="00D31030" w:rsidRPr="003F6BE2" w:rsidRDefault="00FC00AE" w:rsidP="007D0835">
            <w:pPr>
              <w:rPr>
                <w:rFonts w:eastAsia="MS Mincho" w:cs="Arial"/>
                <w:sz w:val="20"/>
                <w:szCs w:val="20"/>
                <w:lang w:val="en-US" w:eastAsia="ja-JP"/>
              </w:rPr>
            </w:pPr>
            <w:r>
              <w:rPr>
                <w:rFonts w:eastAsia="MS Mincho" w:cs="Arial"/>
                <w:sz w:val="20"/>
                <w:szCs w:val="20"/>
                <w:lang w:val="en-US" w:eastAsia="ja-JP"/>
              </w:rPr>
              <w:t>Telford &amp; Wrekin CCG</w:t>
            </w:r>
          </w:p>
        </w:tc>
      </w:tr>
      <w:tr w:rsidR="00D31030" w:rsidRPr="00CF1B00" w:rsidTr="007D0835">
        <w:tc>
          <w:tcPr>
            <w:tcW w:w="2970" w:type="dxa"/>
            <w:shd w:val="clear" w:color="auto" w:fill="333300"/>
          </w:tcPr>
          <w:p w:rsidR="00D31030" w:rsidRPr="003F6BE2" w:rsidRDefault="00D31030" w:rsidP="007D0835">
            <w:pPr>
              <w:rPr>
                <w:rFonts w:eastAsia="MS Mincho" w:cs="Arial"/>
                <w:b/>
                <w:color w:val="FF9900"/>
                <w:lang w:val="en-US" w:eastAsia="ja-JP"/>
              </w:rPr>
            </w:pPr>
            <w:r w:rsidRPr="003F6BE2">
              <w:rPr>
                <w:rFonts w:eastAsia="MS Mincho" w:cs="Arial"/>
                <w:b/>
                <w:color w:val="FF9900"/>
                <w:lang w:val="en-US" w:eastAsia="ja-JP"/>
              </w:rPr>
              <w:t>Provider Lead</w:t>
            </w:r>
          </w:p>
        </w:tc>
        <w:tc>
          <w:tcPr>
            <w:tcW w:w="5444" w:type="dxa"/>
            <w:shd w:val="clear" w:color="auto" w:fill="auto"/>
          </w:tcPr>
          <w:p w:rsidR="00D31030" w:rsidRPr="003F6BE2" w:rsidRDefault="00D31030" w:rsidP="007D0835">
            <w:pPr>
              <w:rPr>
                <w:rFonts w:eastAsia="MS Mincho" w:cs="Arial"/>
                <w:sz w:val="20"/>
                <w:szCs w:val="20"/>
                <w:lang w:val="en-US" w:eastAsia="ja-JP"/>
              </w:rPr>
            </w:pPr>
            <w:r w:rsidRPr="003F6BE2">
              <w:rPr>
                <w:rFonts w:eastAsia="MS Mincho" w:cs="Arial"/>
                <w:sz w:val="20"/>
                <w:szCs w:val="20"/>
                <w:lang w:val="en-US" w:eastAsia="ja-JP"/>
              </w:rPr>
              <w:t xml:space="preserve">General Practices </w:t>
            </w:r>
          </w:p>
        </w:tc>
      </w:tr>
      <w:tr w:rsidR="00D31030" w:rsidRPr="00CF1B00" w:rsidTr="007D0835">
        <w:tc>
          <w:tcPr>
            <w:tcW w:w="2970" w:type="dxa"/>
            <w:shd w:val="clear" w:color="auto" w:fill="333300"/>
          </w:tcPr>
          <w:p w:rsidR="00D31030" w:rsidRPr="003F6BE2" w:rsidRDefault="00D31030" w:rsidP="007D0835">
            <w:pPr>
              <w:rPr>
                <w:rFonts w:eastAsia="MS Mincho" w:cs="Arial"/>
                <w:b/>
                <w:color w:val="FF9900"/>
                <w:lang w:val="en-US" w:eastAsia="ja-JP"/>
              </w:rPr>
            </w:pPr>
            <w:r w:rsidRPr="003F6BE2">
              <w:rPr>
                <w:rFonts w:eastAsia="MS Mincho" w:cs="Arial"/>
                <w:b/>
                <w:color w:val="FF9900"/>
                <w:lang w:val="en-US" w:eastAsia="ja-JP"/>
              </w:rPr>
              <w:t>Period</w:t>
            </w:r>
          </w:p>
        </w:tc>
        <w:tc>
          <w:tcPr>
            <w:tcW w:w="5444" w:type="dxa"/>
            <w:shd w:val="clear" w:color="auto" w:fill="auto"/>
          </w:tcPr>
          <w:p w:rsidR="00D31030" w:rsidRPr="003F6BE2" w:rsidRDefault="00D31030" w:rsidP="005B14D0">
            <w:pPr>
              <w:rPr>
                <w:rFonts w:eastAsia="MS Mincho" w:cs="Arial"/>
                <w:sz w:val="20"/>
                <w:szCs w:val="20"/>
                <w:lang w:val="en-US" w:eastAsia="ja-JP"/>
              </w:rPr>
            </w:pPr>
            <w:r w:rsidRPr="0078357B">
              <w:rPr>
                <w:rFonts w:eastAsia="Arial" w:cs="Arial"/>
                <w:sz w:val="20"/>
              </w:rPr>
              <w:t>1</w:t>
            </w:r>
            <w:r w:rsidRPr="0078357B">
              <w:rPr>
                <w:rFonts w:eastAsia="Arial" w:cs="Arial"/>
                <w:sz w:val="20"/>
                <w:vertAlign w:val="superscript"/>
              </w:rPr>
              <w:t>st</w:t>
            </w:r>
            <w:r w:rsidRPr="0078357B">
              <w:rPr>
                <w:rFonts w:eastAsia="Arial" w:cs="Arial"/>
                <w:sz w:val="20"/>
              </w:rPr>
              <w:t xml:space="preserve"> </w:t>
            </w:r>
            <w:r w:rsidRPr="0078357B">
              <w:rPr>
                <w:rFonts w:eastAsia="Arial" w:cs="Arial"/>
                <w:spacing w:val="1"/>
                <w:sz w:val="20"/>
              </w:rPr>
              <w:t>A</w:t>
            </w:r>
            <w:r w:rsidRPr="0078357B">
              <w:rPr>
                <w:rFonts w:eastAsia="Arial" w:cs="Arial"/>
                <w:sz w:val="20"/>
              </w:rPr>
              <w:t xml:space="preserve">pril </w:t>
            </w:r>
            <w:r w:rsidRPr="0078357B">
              <w:rPr>
                <w:rFonts w:eastAsia="Arial" w:cs="Arial"/>
                <w:spacing w:val="-5"/>
                <w:sz w:val="20"/>
              </w:rPr>
              <w:t>20</w:t>
            </w:r>
            <w:r w:rsidR="005B14D0">
              <w:rPr>
                <w:rFonts w:eastAsia="Arial" w:cs="Arial"/>
                <w:spacing w:val="-5"/>
                <w:sz w:val="20"/>
              </w:rPr>
              <w:t>20</w:t>
            </w:r>
            <w:r w:rsidRPr="0078357B">
              <w:rPr>
                <w:rFonts w:eastAsia="Arial" w:cs="Arial"/>
                <w:spacing w:val="-5"/>
                <w:sz w:val="20"/>
              </w:rPr>
              <w:t xml:space="preserve"> </w:t>
            </w:r>
            <w:r w:rsidRPr="0078357B">
              <w:rPr>
                <w:rFonts w:eastAsia="Arial" w:cs="Arial"/>
                <w:spacing w:val="2"/>
                <w:sz w:val="20"/>
              </w:rPr>
              <w:t>t</w:t>
            </w:r>
            <w:r w:rsidRPr="0078357B">
              <w:rPr>
                <w:rFonts w:eastAsia="Arial" w:cs="Arial"/>
                <w:sz w:val="20"/>
              </w:rPr>
              <w:t>o</w:t>
            </w:r>
            <w:r w:rsidRPr="0078357B">
              <w:rPr>
                <w:rFonts w:eastAsia="Arial" w:cs="Arial"/>
                <w:spacing w:val="-2"/>
                <w:sz w:val="20"/>
              </w:rPr>
              <w:t xml:space="preserve"> </w:t>
            </w:r>
            <w:r w:rsidRPr="0078357B">
              <w:rPr>
                <w:rFonts w:eastAsia="Arial" w:cs="Arial"/>
                <w:spacing w:val="-1"/>
                <w:sz w:val="20"/>
              </w:rPr>
              <w:t>31</w:t>
            </w:r>
            <w:r w:rsidRPr="0078357B">
              <w:rPr>
                <w:rFonts w:eastAsia="Arial" w:cs="Arial"/>
                <w:spacing w:val="-1"/>
                <w:sz w:val="20"/>
                <w:vertAlign w:val="superscript"/>
              </w:rPr>
              <w:t>st</w:t>
            </w:r>
            <w:r w:rsidRPr="0078357B">
              <w:rPr>
                <w:rFonts w:eastAsia="Arial" w:cs="Arial"/>
                <w:spacing w:val="-1"/>
                <w:sz w:val="20"/>
              </w:rPr>
              <w:t xml:space="preserve"> March 20</w:t>
            </w:r>
            <w:r>
              <w:rPr>
                <w:rFonts w:eastAsia="Arial" w:cs="Arial"/>
                <w:spacing w:val="-1"/>
                <w:sz w:val="20"/>
              </w:rPr>
              <w:t>2</w:t>
            </w:r>
            <w:r w:rsidR="005B14D0">
              <w:rPr>
                <w:rFonts w:eastAsia="Arial" w:cs="Arial"/>
                <w:spacing w:val="-1"/>
                <w:sz w:val="20"/>
              </w:rPr>
              <w:t>1</w:t>
            </w:r>
          </w:p>
        </w:tc>
      </w:tr>
      <w:tr w:rsidR="00D31030" w:rsidRPr="00CF1B00" w:rsidTr="007D0835">
        <w:tc>
          <w:tcPr>
            <w:tcW w:w="2970" w:type="dxa"/>
            <w:shd w:val="clear" w:color="auto" w:fill="333300"/>
          </w:tcPr>
          <w:p w:rsidR="00D31030" w:rsidRPr="003F6BE2" w:rsidRDefault="00D31030" w:rsidP="007D0835">
            <w:pPr>
              <w:rPr>
                <w:rFonts w:eastAsia="MS Mincho" w:cs="Arial"/>
                <w:b/>
                <w:color w:val="FF9900"/>
                <w:lang w:val="en-US" w:eastAsia="ja-JP"/>
              </w:rPr>
            </w:pPr>
            <w:r w:rsidRPr="003F6BE2">
              <w:rPr>
                <w:rFonts w:eastAsia="MS Mincho" w:cs="Arial"/>
                <w:b/>
                <w:color w:val="FF9900"/>
                <w:lang w:val="en-US" w:eastAsia="ja-JP"/>
              </w:rPr>
              <w:t>Date of Review</w:t>
            </w:r>
          </w:p>
        </w:tc>
        <w:tc>
          <w:tcPr>
            <w:tcW w:w="5444" w:type="dxa"/>
            <w:shd w:val="clear" w:color="auto" w:fill="auto"/>
          </w:tcPr>
          <w:p w:rsidR="00D31030" w:rsidRPr="003F6BE2" w:rsidRDefault="005B14D0" w:rsidP="005B14D0">
            <w:pPr>
              <w:rPr>
                <w:rFonts w:eastAsia="MS Mincho" w:cs="Arial"/>
                <w:sz w:val="20"/>
                <w:szCs w:val="20"/>
                <w:lang w:val="en-US" w:eastAsia="ja-JP"/>
              </w:rPr>
            </w:pPr>
            <w:r>
              <w:rPr>
                <w:rFonts w:cs="Arial"/>
                <w:sz w:val="20"/>
              </w:rPr>
              <w:t xml:space="preserve">October </w:t>
            </w:r>
            <w:r w:rsidR="00FC00AE">
              <w:rPr>
                <w:rFonts w:cs="Arial"/>
                <w:sz w:val="20"/>
              </w:rPr>
              <w:t>2020</w:t>
            </w:r>
          </w:p>
        </w:tc>
      </w:tr>
    </w:tbl>
    <w:p w:rsidR="00D31030" w:rsidRPr="00CF1B00" w:rsidRDefault="00D31030" w:rsidP="00D31030">
      <w:pPr>
        <w:jc w:val="center"/>
        <w:rPr>
          <w:rFonts w:eastAsia="MS Mincho" w:cs="Arial"/>
          <w:lang w:val="en-US" w:eastAsia="ja-JP"/>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chedule 2A Service Specification"/>
      </w:tblPr>
      <w:tblGrid>
        <w:gridCol w:w="8414"/>
      </w:tblGrid>
      <w:tr w:rsidR="00D31030" w:rsidRPr="00CF1B00" w:rsidTr="007D0835">
        <w:tc>
          <w:tcPr>
            <w:tcW w:w="8414" w:type="dxa"/>
            <w:shd w:val="clear" w:color="auto" w:fill="333300"/>
          </w:tcPr>
          <w:p w:rsidR="00D31030" w:rsidRPr="00CF1B00" w:rsidRDefault="00D31030" w:rsidP="007D0835">
            <w:pPr>
              <w:rPr>
                <w:rFonts w:eastAsia="MS Mincho" w:cs="Arial"/>
                <w:b/>
                <w:lang w:val="en-US" w:eastAsia="ja-JP"/>
              </w:rPr>
            </w:pPr>
            <w:r w:rsidRPr="003F6BE2">
              <w:rPr>
                <w:rFonts w:eastAsia="MS Mincho" w:cs="Arial"/>
                <w:b/>
                <w:color w:val="FF9900"/>
                <w:lang w:val="en-US" w:eastAsia="ja-JP"/>
              </w:rPr>
              <w:t>1.</w:t>
            </w:r>
            <w:r w:rsidRPr="003F6BE2">
              <w:rPr>
                <w:rFonts w:eastAsia="MS Mincho" w:cs="Arial"/>
                <w:b/>
                <w:color w:val="FF9900"/>
                <w:lang w:val="en-US" w:eastAsia="ja-JP"/>
              </w:rPr>
              <w:tab/>
              <w:t>Population Needs</w:t>
            </w:r>
          </w:p>
        </w:tc>
      </w:tr>
      <w:tr w:rsidR="00D31030" w:rsidRPr="00CF1B00" w:rsidTr="007D0835">
        <w:tc>
          <w:tcPr>
            <w:tcW w:w="8414" w:type="dxa"/>
            <w:shd w:val="clear" w:color="auto" w:fill="auto"/>
          </w:tcPr>
          <w:p w:rsidR="00D31030" w:rsidRPr="003F6BE2" w:rsidRDefault="00D31030" w:rsidP="007D0835">
            <w:pPr>
              <w:ind w:left="360"/>
              <w:rPr>
                <w:rFonts w:eastAsia="MS Mincho" w:cs="Arial"/>
                <w:sz w:val="20"/>
                <w:szCs w:val="20"/>
                <w:lang w:val="en-US" w:eastAsia="ja-JP"/>
              </w:rPr>
            </w:pPr>
          </w:p>
          <w:p w:rsidR="00D31030" w:rsidRPr="003F6BE2" w:rsidRDefault="00D31030" w:rsidP="00D31030">
            <w:pPr>
              <w:numPr>
                <w:ilvl w:val="1"/>
                <w:numId w:val="3"/>
              </w:numPr>
              <w:rPr>
                <w:rFonts w:eastAsia="MS Mincho" w:cs="Arial"/>
                <w:b/>
                <w:sz w:val="20"/>
                <w:szCs w:val="20"/>
                <w:lang w:val="en-US" w:eastAsia="ja-JP"/>
              </w:rPr>
            </w:pPr>
            <w:r w:rsidRPr="003F6BE2">
              <w:rPr>
                <w:rFonts w:eastAsia="MS Mincho" w:cs="Arial"/>
                <w:b/>
                <w:sz w:val="20"/>
                <w:szCs w:val="20"/>
                <w:lang w:val="en-US" w:eastAsia="ja-JP"/>
              </w:rPr>
              <w:tab/>
              <w:t>National/local context and evidence base</w:t>
            </w:r>
          </w:p>
          <w:p w:rsidR="00D31030" w:rsidRPr="003F6BE2" w:rsidRDefault="00D31030" w:rsidP="007D0835">
            <w:pPr>
              <w:rPr>
                <w:rFonts w:eastAsia="MS Mincho" w:cs="Arial"/>
                <w:sz w:val="20"/>
                <w:szCs w:val="20"/>
                <w:lang w:val="en-US" w:eastAsia="ja-JP"/>
              </w:rPr>
            </w:pPr>
          </w:p>
          <w:p w:rsidR="00D31030" w:rsidRPr="00BE3AD3" w:rsidRDefault="00D31030" w:rsidP="007D0835">
            <w:pPr>
              <w:autoSpaceDE w:val="0"/>
              <w:autoSpaceDN w:val="0"/>
              <w:adjustRightInd w:val="0"/>
              <w:rPr>
                <w:rFonts w:cs="Arial"/>
                <w:sz w:val="20"/>
                <w:szCs w:val="20"/>
              </w:rPr>
            </w:pPr>
            <w:r w:rsidRPr="00BE3AD3">
              <w:rPr>
                <w:rFonts w:cs="Arial"/>
                <w:sz w:val="20"/>
                <w:szCs w:val="20"/>
              </w:rPr>
              <w:t xml:space="preserve">This specification sets out the criteria for the use of </w:t>
            </w:r>
            <w:proofErr w:type="spellStart"/>
            <w:r w:rsidRPr="00BE3AD3">
              <w:rPr>
                <w:rFonts w:cs="Arial"/>
                <w:sz w:val="20"/>
                <w:szCs w:val="20"/>
              </w:rPr>
              <w:t>Levonorgestrel</w:t>
            </w:r>
            <w:proofErr w:type="spellEnd"/>
            <w:r w:rsidRPr="00BE3AD3">
              <w:rPr>
                <w:rFonts w:cs="Arial"/>
                <w:sz w:val="20"/>
                <w:szCs w:val="20"/>
              </w:rPr>
              <w:t xml:space="preserve"> Intrauterine Systems (LNG-IUS) for non-contraceptive purposes in Primary Care. </w:t>
            </w:r>
          </w:p>
          <w:p w:rsidR="00D31030" w:rsidRPr="00BE3AD3" w:rsidRDefault="00D31030" w:rsidP="007D0835">
            <w:pPr>
              <w:autoSpaceDE w:val="0"/>
              <w:autoSpaceDN w:val="0"/>
              <w:adjustRightInd w:val="0"/>
              <w:rPr>
                <w:rFonts w:cs="Arial"/>
                <w:sz w:val="20"/>
                <w:szCs w:val="20"/>
              </w:rPr>
            </w:pPr>
          </w:p>
          <w:p w:rsidR="00D44E9A" w:rsidRPr="00BE3AD3" w:rsidRDefault="00D44E9A" w:rsidP="00D44E9A">
            <w:pPr>
              <w:pStyle w:val="Heading4"/>
              <w:numPr>
                <w:ilvl w:val="0"/>
                <w:numId w:val="0"/>
              </w:numPr>
              <w:shd w:val="clear" w:color="auto" w:fill="FFFFFF"/>
              <w:spacing w:before="0"/>
              <w:rPr>
                <w:rFonts w:ascii="Arial" w:eastAsia="Times New Roman" w:hAnsi="Arial" w:cs="Arial"/>
                <w:b w:val="0"/>
                <w:bCs/>
                <w:i w:val="0"/>
                <w:iCs w:val="0"/>
                <w:color w:val="auto"/>
                <w:sz w:val="20"/>
                <w:szCs w:val="20"/>
              </w:rPr>
            </w:pPr>
            <w:r w:rsidRPr="00BE3AD3">
              <w:rPr>
                <w:rFonts w:ascii="Arial" w:eastAsia="Times New Roman" w:hAnsi="Arial" w:cs="Arial"/>
                <w:b w:val="0"/>
                <w:bCs/>
                <w:i w:val="0"/>
                <w:iCs w:val="0"/>
                <w:color w:val="auto"/>
                <w:sz w:val="20"/>
                <w:szCs w:val="20"/>
              </w:rPr>
              <w:t xml:space="preserve">As well as being licensed as a contraceptive device, the </w:t>
            </w:r>
            <w:proofErr w:type="spellStart"/>
            <w:r w:rsidRPr="00BE3AD3">
              <w:rPr>
                <w:rFonts w:ascii="Arial" w:eastAsia="Times New Roman" w:hAnsi="Arial" w:cs="Arial"/>
                <w:b w:val="0"/>
                <w:bCs/>
                <w:i w:val="0"/>
                <w:iCs w:val="0"/>
                <w:color w:val="auto"/>
                <w:sz w:val="20"/>
                <w:szCs w:val="20"/>
              </w:rPr>
              <w:t>Mirena</w:t>
            </w:r>
            <w:proofErr w:type="spellEnd"/>
            <w:r w:rsidRPr="00BE3AD3">
              <w:rPr>
                <w:rFonts w:ascii="Arial" w:eastAsia="Times New Roman" w:hAnsi="Arial" w:cs="Arial"/>
                <w:b w:val="0"/>
                <w:bCs/>
                <w:i w:val="0"/>
                <w:iCs w:val="0"/>
                <w:color w:val="auto"/>
                <w:sz w:val="20"/>
                <w:szCs w:val="20"/>
              </w:rPr>
              <w:sym w:font="Symbol" w:char="F0D2"/>
            </w:r>
            <w:r w:rsidRPr="00BE3AD3">
              <w:rPr>
                <w:rFonts w:ascii="Arial" w:eastAsia="Times New Roman" w:hAnsi="Arial" w:cs="Arial"/>
                <w:b w:val="0"/>
                <w:bCs/>
                <w:i w:val="0"/>
                <w:iCs w:val="0"/>
                <w:color w:val="auto"/>
                <w:sz w:val="20"/>
                <w:szCs w:val="20"/>
              </w:rPr>
              <w:t xml:space="preserve"> LNG-IUS is licensed for the management of idiopathic menorrhagia for a period of 5 years and protection from endometrial hyperplasia for a period of 4 years. This Locally Commissioned Service (LCS) covers the use of the device</w:t>
            </w:r>
            <w:r w:rsidR="00C35672" w:rsidRPr="00BE3AD3">
              <w:rPr>
                <w:rFonts w:ascii="Arial" w:eastAsia="Times New Roman" w:hAnsi="Arial" w:cs="Arial"/>
                <w:b w:val="0"/>
                <w:bCs/>
                <w:i w:val="0"/>
                <w:iCs w:val="0"/>
                <w:color w:val="auto"/>
                <w:sz w:val="20"/>
                <w:szCs w:val="20"/>
              </w:rPr>
              <w:t xml:space="preserve"> within Primary Care where clinically appropriate</w:t>
            </w:r>
            <w:r w:rsidRPr="00BE3AD3">
              <w:rPr>
                <w:rFonts w:ascii="Arial" w:eastAsia="Times New Roman" w:hAnsi="Arial" w:cs="Arial"/>
                <w:b w:val="0"/>
                <w:bCs/>
                <w:i w:val="0"/>
                <w:iCs w:val="0"/>
                <w:color w:val="auto"/>
                <w:sz w:val="20"/>
                <w:szCs w:val="20"/>
              </w:rPr>
              <w:t xml:space="preserve"> under these circumstances</w:t>
            </w:r>
            <w:r w:rsidR="00C35672" w:rsidRPr="00BE3AD3">
              <w:rPr>
                <w:rFonts w:ascii="Arial" w:eastAsia="Times New Roman" w:hAnsi="Arial" w:cs="Arial"/>
                <w:b w:val="0"/>
                <w:bCs/>
                <w:i w:val="0"/>
                <w:iCs w:val="0"/>
                <w:color w:val="auto"/>
                <w:sz w:val="20"/>
                <w:szCs w:val="20"/>
              </w:rPr>
              <w:t xml:space="preserve">, reducing the requirement for referral into </w:t>
            </w:r>
            <w:r w:rsidR="00216359">
              <w:rPr>
                <w:rFonts w:ascii="Arial" w:eastAsia="Times New Roman" w:hAnsi="Arial" w:cs="Arial"/>
                <w:b w:val="0"/>
                <w:bCs/>
                <w:i w:val="0"/>
                <w:iCs w:val="0"/>
                <w:color w:val="auto"/>
                <w:sz w:val="20"/>
                <w:szCs w:val="20"/>
              </w:rPr>
              <w:t xml:space="preserve">Community Gynaecology services and </w:t>
            </w:r>
            <w:r w:rsidR="00C35672" w:rsidRPr="00BE3AD3">
              <w:rPr>
                <w:rFonts w:ascii="Arial" w:eastAsia="Times New Roman" w:hAnsi="Arial" w:cs="Arial"/>
                <w:b w:val="0"/>
                <w:bCs/>
                <w:i w:val="0"/>
                <w:iCs w:val="0"/>
                <w:color w:val="auto"/>
                <w:sz w:val="20"/>
                <w:szCs w:val="20"/>
              </w:rPr>
              <w:t>Secondary Care</w:t>
            </w:r>
            <w:r w:rsidRPr="00BE3AD3">
              <w:rPr>
                <w:rFonts w:ascii="Arial" w:eastAsia="Times New Roman" w:hAnsi="Arial" w:cs="Arial"/>
                <w:b w:val="0"/>
                <w:bCs/>
                <w:i w:val="0"/>
                <w:iCs w:val="0"/>
                <w:color w:val="auto"/>
                <w:sz w:val="20"/>
                <w:szCs w:val="20"/>
              </w:rPr>
              <w:t xml:space="preserve">.  </w:t>
            </w:r>
          </w:p>
          <w:p w:rsidR="00D44E9A" w:rsidRPr="00BE3AD3" w:rsidRDefault="00D44E9A" w:rsidP="00D44E9A">
            <w:pPr>
              <w:pStyle w:val="Heading4"/>
              <w:numPr>
                <w:ilvl w:val="0"/>
                <w:numId w:val="0"/>
              </w:numPr>
              <w:shd w:val="clear" w:color="auto" w:fill="FFFFFF"/>
              <w:spacing w:before="0"/>
              <w:rPr>
                <w:rFonts w:ascii="Arial" w:eastAsia="Times New Roman" w:hAnsi="Arial" w:cs="Arial"/>
                <w:b w:val="0"/>
                <w:bCs/>
                <w:i w:val="0"/>
                <w:iCs w:val="0"/>
                <w:color w:val="auto"/>
                <w:sz w:val="20"/>
                <w:szCs w:val="20"/>
              </w:rPr>
            </w:pPr>
          </w:p>
          <w:p w:rsidR="00D44E9A" w:rsidRPr="00BE3AD3" w:rsidRDefault="00D44E9A" w:rsidP="00D44E9A">
            <w:pPr>
              <w:pStyle w:val="Heading4"/>
              <w:numPr>
                <w:ilvl w:val="0"/>
                <w:numId w:val="0"/>
              </w:numPr>
              <w:shd w:val="clear" w:color="auto" w:fill="FFFFFF"/>
              <w:spacing w:before="0"/>
              <w:rPr>
                <w:rFonts w:ascii="Arial" w:eastAsia="Times New Roman" w:hAnsi="Arial" w:cs="Arial"/>
                <w:b w:val="0"/>
                <w:bCs/>
                <w:i w:val="0"/>
                <w:iCs w:val="0"/>
                <w:color w:val="auto"/>
                <w:sz w:val="20"/>
                <w:szCs w:val="20"/>
              </w:rPr>
            </w:pPr>
            <w:r w:rsidRPr="00BE3AD3">
              <w:rPr>
                <w:rFonts w:ascii="Arial" w:eastAsia="Times New Roman" w:hAnsi="Arial" w:cs="Arial"/>
                <w:b w:val="0"/>
                <w:bCs/>
                <w:i w:val="0"/>
                <w:iCs w:val="0"/>
                <w:color w:val="auto"/>
                <w:sz w:val="20"/>
                <w:szCs w:val="20"/>
              </w:rPr>
              <w:t>T</w:t>
            </w:r>
            <w:r w:rsidR="00D31030" w:rsidRPr="00BE3AD3">
              <w:rPr>
                <w:rFonts w:ascii="Arial" w:eastAsia="Times New Roman" w:hAnsi="Arial" w:cs="Arial"/>
                <w:b w:val="0"/>
                <w:bCs/>
                <w:i w:val="0"/>
                <w:iCs w:val="0"/>
                <w:color w:val="auto"/>
                <w:sz w:val="20"/>
                <w:szCs w:val="20"/>
              </w:rPr>
              <w:t xml:space="preserve">he </w:t>
            </w:r>
            <w:r w:rsidRPr="00BE3AD3">
              <w:rPr>
                <w:rFonts w:ascii="Arial" w:eastAsia="Times New Roman" w:hAnsi="Arial" w:cs="Arial"/>
                <w:b w:val="0"/>
                <w:bCs/>
                <w:i w:val="0"/>
                <w:iCs w:val="0"/>
                <w:color w:val="auto"/>
                <w:sz w:val="20"/>
                <w:szCs w:val="20"/>
              </w:rPr>
              <w:t xml:space="preserve">use of </w:t>
            </w:r>
            <w:r w:rsidR="00C35672" w:rsidRPr="00BE3AD3">
              <w:rPr>
                <w:rFonts w:ascii="Arial" w:eastAsia="Times New Roman" w:hAnsi="Arial" w:cs="Arial"/>
                <w:b w:val="0"/>
                <w:bCs/>
                <w:i w:val="0"/>
                <w:iCs w:val="0"/>
                <w:color w:val="auto"/>
                <w:sz w:val="20"/>
                <w:szCs w:val="20"/>
              </w:rPr>
              <w:t>any</w:t>
            </w:r>
            <w:r w:rsidR="00D31030" w:rsidRPr="00BE3AD3">
              <w:rPr>
                <w:rFonts w:ascii="Arial" w:eastAsia="Times New Roman" w:hAnsi="Arial" w:cs="Arial"/>
                <w:b w:val="0"/>
                <w:bCs/>
                <w:i w:val="0"/>
                <w:iCs w:val="0"/>
                <w:color w:val="auto"/>
                <w:sz w:val="20"/>
                <w:szCs w:val="20"/>
              </w:rPr>
              <w:t xml:space="preserve"> LNG-IUS </w:t>
            </w:r>
            <w:r w:rsidR="00C35672" w:rsidRPr="00BE3AD3">
              <w:rPr>
                <w:rFonts w:ascii="Arial" w:eastAsia="Times New Roman" w:hAnsi="Arial" w:cs="Arial"/>
                <w:b w:val="0"/>
                <w:bCs/>
                <w:i w:val="0"/>
                <w:iCs w:val="0"/>
                <w:color w:val="auto"/>
                <w:sz w:val="20"/>
                <w:szCs w:val="20"/>
              </w:rPr>
              <w:t>purely for the purposes of contraception</w:t>
            </w:r>
            <w:r w:rsidRPr="00BE3AD3">
              <w:rPr>
                <w:rFonts w:ascii="Arial" w:eastAsia="Times New Roman" w:hAnsi="Arial" w:cs="Arial"/>
                <w:b w:val="0"/>
                <w:bCs/>
                <w:i w:val="0"/>
                <w:iCs w:val="0"/>
                <w:color w:val="auto"/>
                <w:sz w:val="20"/>
                <w:szCs w:val="20"/>
              </w:rPr>
              <w:t xml:space="preserve"> is commissioned by Public Health</w:t>
            </w:r>
            <w:r w:rsidR="00C35672" w:rsidRPr="00BE3AD3">
              <w:rPr>
                <w:rFonts w:ascii="Arial" w:eastAsia="Times New Roman" w:hAnsi="Arial" w:cs="Arial"/>
                <w:b w:val="0"/>
                <w:bCs/>
                <w:i w:val="0"/>
                <w:iCs w:val="0"/>
                <w:color w:val="auto"/>
                <w:sz w:val="20"/>
                <w:szCs w:val="20"/>
              </w:rPr>
              <w:t xml:space="preserve">, not </w:t>
            </w:r>
            <w:r w:rsidR="00216359">
              <w:rPr>
                <w:rFonts w:ascii="Arial" w:eastAsia="Times New Roman" w:hAnsi="Arial" w:cs="Arial"/>
                <w:b w:val="0"/>
                <w:bCs/>
                <w:i w:val="0"/>
                <w:iCs w:val="0"/>
                <w:color w:val="auto"/>
                <w:sz w:val="20"/>
                <w:szCs w:val="20"/>
              </w:rPr>
              <w:t>Telford &amp; Wrekin</w:t>
            </w:r>
            <w:r w:rsidR="00C35672" w:rsidRPr="00BE3AD3">
              <w:rPr>
                <w:rFonts w:ascii="Arial" w:eastAsia="Times New Roman" w:hAnsi="Arial" w:cs="Arial"/>
                <w:b w:val="0"/>
                <w:bCs/>
                <w:i w:val="0"/>
                <w:iCs w:val="0"/>
                <w:color w:val="auto"/>
                <w:sz w:val="20"/>
                <w:szCs w:val="20"/>
              </w:rPr>
              <w:t xml:space="preserve"> CCG, </w:t>
            </w:r>
            <w:r w:rsidRPr="00BE3AD3">
              <w:rPr>
                <w:rFonts w:ascii="Arial" w:eastAsia="Times New Roman" w:hAnsi="Arial" w:cs="Arial"/>
                <w:b w:val="0"/>
                <w:bCs/>
                <w:i w:val="0"/>
                <w:iCs w:val="0"/>
                <w:color w:val="auto"/>
                <w:sz w:val="20"/>
                <w:szCs w:val="20"/>
              </w:rPr>
              <w:t>and</w:t>
            </w:r>
            <w:r w:rsidR="00C35672" w:rsidRPr="00BE3AD3">
              <w:rPr>
                <w:rFonts w:ascii="Arial" w:eastAsia="Times New Roman" w:hAnsi="Arial" w:cs="Arial"/>
                <w:b w:val="0"/>
                <w:bCs/>
                <w:i w:val="0"/>
                <w:iCs w:val="0"/>
                <w:color w:val="auto"/>
                <w:sz w:val="20"/>
                <w:szCs w:val="20"/>
              </w:rPr>
              <w:t xml:space="preserve"> is</w:t>
            </w:r>
            <w:r w:rsidRPr="00BE3AD3">
              <w:rPr>
                <w:rFonts w:ascii="Arial" w:eastAsia="Times New Roman" w:hAnsi="Arial" w:cs="Arial"/>
                <w:b w:val="0"/>
                <w:bCs/>
                <w:i w:val="0"/>
                <w:iCs w:val="0"/>
                <w:color w:val="auto"/>
                <w:sz w:val="20"/>
                <w:szCs w:val="20"/>
              </w:rPr>
              <w:t xml:space="preserve"> not included within this specification.</w:t>
            </w:r>
          </w:p>
          <w:p w:rsidR="00D31030" w:rsidRPr="00CF1B00" w:rsidRDefault="00D31030" w:rsidP="00C35672">
            <w:pPr>
              <w:rPr>
                <w:rFonts w:eastAsia="MS Mincho" w:cs="Arial"/>
                <w:lang w:val="en-US" w:eastAsia="ja-JP"/>
              </w:rPr>
            </w:pPr>
          </w:p>
        </w:tc>
      </w:tr>
      <w:tr w:rsidR="00D31030" w:rsidRPr="00CF1B00" w:rsidTr="007D0835">
        <w:tc>
          <w:tcPr>
            <w:tcW w:w="8414" w:type="dxa"/>
            <w:shd w:val="clear" w:color="auto" w:fill="333300"/>
          </w:tcPr>
          <w:p w:rsidR="00D31030" w:rsidRPr="00CF1B00" w:rsidRDefault="00D31030" w:rsidP="007D0835">
            <w:pPr>
              <w:rPr>
                <w:rFonts w:eastAsia="MS Mincho" w:cs="Arial"/>
                <w:b/>
                <w:lang w:val="en-US" w:eastAsia="ja-JP"/>
              </w:rPr>
            </w:pPr>
            <w:r w:rsidRPr="003F6BE2">
              <w:rPr>
                <w:rFonts w:eastAsia="MS Mincho" w:cs="Arial"/>
                <w:b/>
                <w:color w:val="FF9900"/>
                <w:lang w:val="en-US" w:eastAsia="ja-JP"/>
              </w:rPr>
              <w:t>2.</w:t>
            </w:r>
            <w:r w:rsidRPr="003F6BE2">
              <w:rPr>
                <w:rFonts w:eastAsia="MS Mincho" w:cs="Arial"/>
                <w:b/>
                <w:color w:val="FF9900"/>
                <w:lang w:val="en-US" w:eastAsia="ja-JP"/>
              </w:rPr>
              <w:tab/>
              <w:t>Outcomes</w:t>
            </w:r>
          </w:p>
        </w:tc>
      </w:tr>
      <w:tr w:rsidR="00D31030" w:rsidRPr="00CF1B00" w:rsidTr="007D0835">
        <w:tc>
          <w:tcPr>
            <w:tcW w:w="8414" w:type="dxa"/>
            <w:shd w:val="clear" w:color="auto" w:fill="auto"/>
          </w:tcPr>
          <w:p w:rsidR="00D31030" w:rsidRPr="003F6BE2" w:rsidRDefault="00D31030" w:rsidP="007D0835">
            <w:pPr>
              <w:rPr>
                <w:rFonts w:eastAsia="MS Mincho" w:cs="Arial"/>
                <w:b/>
                <w:sz w:val="20"/>
                <w:szCs w:val="20"/>
                <w:lang w:val="en-US" w:eastAsia="ja-JP"/>
              </w:rPr>
            </w:pPr>
          </w:p>
          <w:p w:rsidR="00D31030" w:rsidRPr="003F6BE2" w:rsidRDefault="00D31030" w:rsidP="007D0835">
            <w:pPr>
              <w:rPr>
                <w:rFonts w:eastAsia="MS Mincho" w:cs="Arial"/>
                <w:b/>
                <w:sz w:val="20"/>
                <w:szCs w:val="20"/>
                <w:lang w:val="en-US" w:eastAsia="ja-JP"/>
              </w:rPr>
            </w:pPr>
            <w:r w:rsidRPr="003F6BE2">
              <w:rPr>
                <w:rFonts w:eastAsia="MS Mincho" w:cs="Arial"/>
                <w:b/>
                <w:sz w:val="20"/>
                <w:szCs w:val="20"/>
                <w:lang w:val="en-US" w:eastAsia="ja-JP"/>
              </w:rPr>
              <w:t>2.1</w:t>
            </w:r>
            <w:r w:rsidRPr="003F6BE2">
              <w:rPr>
                <w:rFonts w:eastAsia="MS Mincho" w:cs="Arial"/>
                <w:b/>
                <w:sz w:val="20"/>
                <w:szCs w:val="20"/>
                <w:lang w:val="en-US" w:eastAsia="ja-JP"/>
              </w:rPr>
              <w:tab/>
            </w:r>
            <w:r w:rsidRPr="003F6BE2">
              <w:rPr>
                <w:rFonts w:eastAsia="MS Mincho" w:cs="Arial"/>
                <w:b/>
                <w:sz w:val="20"/>
                <w:szCs w:val="20"/>
                <w:u w:val="single"/>
                <w:lang w:val="en-US" w:eastAsia="ja-JP"/>
              </w:rPr>
              <w:t>NHS Outcomes Framework Domains &amp; Indicators</w:t>
            </w:r>
          </w:p>
          <w:p w:rsidR="00D31030" w:rsidRPr="003F6BE2" w:rsidRDefault="00D31030" w:rsidP="007D0835">
            <w:pPr>
              <w:rPr>
                <w:rFonts w:eastAsia="MS Mincho" w:cs="Arial"/>
                <w:b/>
                <w:sz w:val="20"/>
                <w:szCs w:val="20"/>
                <w:lang w:val="en-US" w:eastAsia="ja-JP"/>
              </w:rPr>
            </w:pPr>
          </w:p>
          <w:tbl>
            <w:tblPr>
              <w:tblStyle w:val="TableGrid"/>
              <w:tblW w:w="0" w:type="auto"/>
              <w:tblInd w:w="738" w:type="dxa"/>
              <w:tblLook w:val="04A0" w:firstRow="1" w:lastRow="0" w:firstColumn="1" w:lastColumn="0" w:noHBand="0" w:noVBand="1"/>
              <w:tblDescription w:val="NHS Outcomes Framework Domains &amp; Indicators"/>
            </w:tblPr>
            <w:tblGrid>
              <w:gridCol w:w="1276"/>
              <w:gridCol w:w="5528"/>
              <w:gridCol w:w="641"/>
            </w:tblGrid>
            <w:tr w:rsidR="00D31030" w:rsidRPr="003F6BE2" w:rsidTr="007D0835">
              <w:trPr>
                <w:tblHeader/>
              </w:trPr>
              <w:tc>
                <w:tcPr>
                  <w:tcW w:w="1276" w:type="dxa"/>
                </w:tcPr>
                <w:p w:rsidR="00D31030" w:rsidRPr="003F6BE2" w:rsidRDefault="00D31030" w:rsidP="007D0835">
                  <w:pPr>
                    <w:rPr>
                      <w:rFonts w:cs="Arial"/>
                      <w:b/>
                      <w:sz w:val="20"/>
                      <w:szCs w:val="20"/>
                      <w:lang w:val="en-US"/>
                    </w:rPr>
                  </w:pPr>
                  <w:r w:rsidRPr="003F6BE2">
                    <w:rPr>
                      <w:rFonts w:cs="Arial"/>
                      <w:b/>
                      <w:sz w:val="20"/>
                      <w:szCs w:val="20"/>
                      <w:lang w:val="en-US"/>
                    </w:rPr>
                    <w:t>Domain 1</w:t>
                  </w:r>
                </w:p>
              </w:tc>
              <w:tc>
                <w:tcPr>
                  <w:tcW w:w="5528" w:type="dxa"/>
                </w:tcPr>
                <w:p w:rsidR="00D31030" w:rsidRPr="003F6BE2" w:rsidRDefault="00D31030" w:rsidP="007D0835">
                  <w:pPr>
                    <w:rPr>
                      <w:rFonts w:cs="Arial"/>
                      <w:b/>
                      <w:sz w:val="20"/>
                      <w:szCs w:val="20"/>
                      <w:lang w:val="en-US"/>
                    </w:rPr>
                  </w:pPr>
                  <w:r w:rsidRPr="003F6BE2">
                    <w:rPr>
                      <w:rFonts w:cs="Arial"/>
                      <w:b/>
                      <w:sz w:val="20"/>
                      <w:szCs w:val="20"/>
                      <w:lang w:val="en-US"/>
                    </w:rPr>
                    <w:t>Preventing people from dying prematurely</w:t>
                  </w:r>
                </w:p>
              </w:tc>
              <w:tc>
                <w:tcPr>
                  <w:tcW w:w="641" w:type="dxa"/>
                </w:tcPr>
                <w:p w:rsidR="00D31030" w:rsidRPr="003F6BE2" w:rsidRDefault="00D31030" w:rsidP="007D0835">
                  <w:pPr>
                    <w:rPr>
                      <w:rFonts w:cs="Arial"/>
                      <w:b/>
                      <w:sz w:val="20"/>
                      <w:szCs w:val="20"/>
                      <w:lang w:val="en-US"/>
                    </w:rPr>
                  </w:pPr>
                </w:p>
              </w:tc>
            </w:tr>
            <w:tr w:rsidR="00D31030" w:rsidRPr="003F6BE2" w:rsidTr="007D0835">
              <w:tc>
                <w:tcPr>
                  <w:tcW w:w="1276" w:type="dxa"/>
                </w:tcPr>
                <w:p w:rsidR="00D31030" w:rsidRPr="003F6BE2" w:rsidRDefault="00D31030" w:rsidP="007D0835">
                  <w:pPr>
                    <w:rPr>
                      <w:rFonts w:cs="Arial"/>
                      <w:b/>
                      <w:sz w:val="20"/>
                      <w:szCs w:val="20"/>
                      <w:lang w:val="en-US"/>
                    </w:rPr>
                  </w:pPr>
                  <w:r w:rsidRPr="003F6BE2">
                    <w:rPr>
                      <w:rFonts w:cs="Arial"/>
                      <w:b/>
                      <w:sz w:val="20"/>
                      <w:szCs w:val="20"/>
                      <w:lang w:val="en-US"/>
                    </w:rPr>
                    <w:t>Domain 2</w:t>
                  </w:r>
                </w:p>
              </w:tc>
              <w:tc>
                <w:tcPr>
                  <w:tcW w:w="5528" w:type="dxa"/>
                </w:tcPr>
                <w:p w:rsidR="00D31030" w:rsidRPr="003F6BE2" w:rsidRDefault="00D31030" w:rsidP="007D0835">
                  <w:pPr>
                    <w:rPr>
                      <w:rFonts w:cs="Arial"/>
                      <w:b/>
                      <w:sz w:val="20"/>
                      <w:szCs w:val="20"/>
                      <w:lang w:val="en-US"/>
                    </w:rPr>
                  </w:pPr>
                  <w:r w:rsidRPr="003F6BE2">
                    <w:rPr>
                      <w:rFonts w:cs="Arial"/>
                      <w:b/>
                      <w:sz w:val="20"/>
                      <w:szCs w:val="20"/>
                      <w:lang w:val="en-US"/>
                    </w:rPr>
                    <w:t>Enhancing quality of life for people with long-term conditions</w:t>
                  </w:r>
                </w:p>
              </w:tc>
              <w:tc>
                <w:tcPr>
                  <w:tcW w:w="641" w:type="dxa"/>
                </w:tcPr>
                <w:p w:rsidR="00D31030" w:rsidRPr="003F6BE2" w:rsidRDefault="00D31030" w:rsidP="007D0835">
                  <w:pPr>
                    <w:rPr>
                      <w:rFonts w:cs="Arial"/>
                      <w:b/>
                      <w:sz w:val="20"/>
                      <w:szCs w:val="20"/>
                      <w:lang w:val="en-US"/>
                    </w:rPr>
                  </w:pPr>
                </w:p>
              </w:tc>
            </w:tr>
            <w:tr w:rsidR="00D31030" w:rsidRPr="003F6BE2" w:rsidTr="007D0835">
              <w:tc>
                <w:tcPr>
                  <w:tcW w:w="1276" w:type="dxa"/>
                </w:tcPr>
                <w:p w:rsidR="00D31030" w:rsidRPr="003F6BE2" w:rsidRDefault="00D31030" w:rsidP="007D0835">
                  <w:pPr>
                    <w:rPr>
                      <w:rFonts w:cs="Arial"/>
                      <w:b/>
                      <w:sz w:val="20"/>
                      <w:szCs w:val="20"/>
                      <w:lang w:val="en-US"/>
                    </w:rPr>
                  </w:pPr>
                  <w:r w:rsidRPr="003F6BE2">
                    <w:rPr>
                      <w:rFonts w:cs="Arial"/>
                      <w:b/>
                      <w:sz w:val="20"/>
                      <w:szCs w:val="20"/>
                      <w:lang w:val="en-US"/>
                    </w:rPr>
                    <w:t>Domain 3</w:t>
                  </w:r>
                </w:p>
              </w:tc>
              <w:tc>
                <w:tcPr>
                  <w:tcW w:w="5528" w:type="dxa"/>
                </w:tcPr>
                <w:p w:rsidR="00D31030" w:rsidRPr="003F6BE2" w:rsidRDefault="00D31030" w:rsidP="007D0835">
                  <w:pPr>
                    <w:rPr>
                      <w:rFonts w:cs="Arial"/>
                      <w:b/>
                      <w:sz w:val="20"/>
                      <w:szCs w:val="20"/>
                      <w:lang w:val="en-US"/>
                    </w:rPr>
                  </w:pPr>
                  <w:r w:rsidRPr="003F6BE2">
                    <w:rPr>
                      <w:rFonts w:cs="Arial"/>
                      <w:b/>
                      <w:sz w:val="20"/>
                      <w:szCs w:val="20"/>
                      <w:lang w:val="en-US"/>
                    </w:rPr>
                    <w:t>Helping people to recover from episodes of ill-health or following injury</w:t>
                  </w:r>
                </w:p>
              </w:tc>
              <w:tc>
                <w:tcPr>
                  <w:tcW w:w="641" w:type="dxa"/>
                </w:tcPr>
                <w:p w:rsidR="00D31030" w:rsidRPr="003F6BE2" w:rsidRDefault="00D31030" w:rsidP="007D0835">
                  <w:pPr>
                    <w:rPr>
                      <w:rFonts w:cs="Arial"/>
                      <w:b/>
                      <w:sz w:val="20"/>
                      <w:szCs w:val="20"/>
                      <w:lang w:val="en-US"/>
                    </w:rPr>
                  </w:pPr>
                  <w:r w:rsidRPr="003F6BE2">
                    <w:rPr>
                      <w:rFonts w:cs="Arial"/>
                      <w:b/>
                      <w:sz w:val="20"/>
                      <w:szCs w:val="20"/>
                      <w:lang w:val="en-US"/>
                    </w:rPr>
                    <w:t>X</w:t>
                  </w:r>
                </w:p>
              </w:tc>
            </w:tr>
            <w:tr w:rsidR="00D31030" w:rsidRPr="003F6BE2" w:rsidTr="007D0835">
              <w:tc>
                <w:tcPr>
                  <w:tcW w:w="1276" w:type="dxa"/>
                </w:tcPr>
                <w:p w:rsidR="00D31030" w:rsidRPr="003F6BE2" w:rsidRDefault="00D31030" w:rsidP="007D0835">
                  <w:pPr>
                    <w:rPr>
                      <w:rFonts w:cs="Arial"/>
                      <w:b/>
                      <w:sz w:val="20"/>
                      <w:szCs w:val="20"/>
                      <w:lang w:val="en-US"/>
                    </w:rPr>
                  </w:pPr>
                  <w:r w:rsidRPr="003F6BE2">
                    <w:rPr>
                      <w:rFonts w:cs="Arial"/>
                      <w:b/>
                      <w:sz w:val="20"/>
                      <w:szCs w:val="20"/>
                      <w:lang w:val="en-US"/>
                    </w:rPr>
                    <w:t>Domain 4</w:t>
                  </w:r>
                </w:p>
              </w:tc>
              <w:tc>
                <w:tcPr>
                  <w:tcW w:w="5528" w:type="dxa"/>
                </w:tcPr>
                <w:p w:rsidR="00D31030" w:rsidRPr="003F6BE2" w:rsidRDefault="00D31030" w:rsidP="007D0835">
                  <w:pPr>
                    <w:rPr>
                      <w:rFonts w:cs="Arial"/>
                      <w:b/>
                      <w:sz w:val="20"/>
                      <w:szCs w:val="20"/>
                      <w:lang w:val="en-US"/>
                    </w:rPr>
                  </w:pPr>
                  <w:r w:rsidRPr="003F6BE2">
                    <w:rPr>
                      <w:rFonts w:cs="Arial"/>
                      <w:b/>
                      <w:sz w:val="20"/>
                      <w:szCs w:val="20"/>
                      <w:lang w:val="en-US"/>
                    </w:rPr>
                    <w:t>Ensuring people have a positive experience of care</w:t>
                  </w:r>
                </w:p>
              </w:tc>
              <w:tc>
                <w:tcPr>
                  <w:tcW w:w="641" w:type="dxa"/>
                </w:tcPr>
                <w:p w:rsidR="00D31030" w:rsidRPr="003F6BE2" w:rsidRDefault="00D31030" w:rsidP="007D0835">
                  <w:pPr>
                    <w:rPr>
                      <w:rFonts w:cs="Arial"/>
                      <w:b/>
                      <w:sz w:val="20"/>
                      <w:szCs w:val="20"/>
                      <w:lang w:val="en-US"/>
                    </w:rPr>
                  </w:pPr>
                  <w:r w:rsidRPr="003F6BE2">
                    <w:rPr>
                      <w:rFonts w:cs="Arial"/>
                      <w:b/>
                      <w:sz w:val="20"/>
                      <w:szCs w:val="20"/>
                      <w:lang w:val="en-US"/>
                    </w:rPr>
                    <w:t>X</w:t>
                  </w:r>
                </w:p>
              </w:tc>
            </w:tr>
            <w:tr w:rsidR="00D31030" w:rsidRPr="003F6BE2" w:rsidTr="007D0835">
              <w:tc>
                <w:tcPr>
                  <w:tcW w:w="1276" w:type="dxa"/>
                </w:tcPr>
                <w:p w:rsidR="00D31030" w:rsidRPr="003F6BE2" w:rsidRDefault="00D31030" w:rsidP="007D0835">
                  <w:pPr>
                    <w:rPr>
                      <w:rFonts w:cs="Arial"/>
                      <w:b/>
                      <w:sz w:val="20"/>
                      <w:szCs w:val="20"/>
                      <w:lang w:val="en-US"/>
                    </w:rPr>
                  </w:pPr>
                  <w:r w:rsidRPr="003F6BE2">
                    <w:rPr>
                      <w:rFonts w:cs="Arial"/>
                      <w:b/>
                      <w:sz w:val="20"/>
                      <w:szCs w:val="20"/>
                      <w:lang w:val="en-US"/>
                    </w:rPr>
                    <w:t>Domain 5</w:t>
                  </w:r>
                </w:p>
              </w:tc>
              <w:tc>
                <w:tcPr>
                  <w:tcW w:w="5528" w:type="dxa"/>
                </w:tcPr>
                <w:p w:rsidR="00D31030" w:rsidRPr="003F6BE2" w:rsidRDefault="00D31030" w:rsidP="007D0835">
                  <w:pPr>
                    <w:rPr>
                      <w:rFonts w:cs="Arial"/>
                      <w:b/>
                      <w:sz w:val="20"/>
                      <w:szCs w:val="20"/>
                      <w:lang w:val="en-US"/>
                    </w:rPr>
                  </w:pPr>
                  <w:r w:rsidRPr="003F6BE2">
                    <w:rPr>
                      <w:rFonts w:cs="Arial"/>
                      <w:b/>
                      <w:sz w:val="20"/>
                      <w:szCs w:val="20"/>
                      <w:lang w:val="en-US"/>
                    </w:rPr>
                    <w:t>Treating and caring for people in safe environment and protecting them from avoidable harm</w:t>
                  </w:r>
                </w:p>
              </w:tc>
              <w:tc>
                <w:tcPr>
                  <w:tcW w:w="641" w:type="dxa"/>
                </w:tcPr>
                <w:p w:rsidR="00D31030" w:rsidRPr="003F6BE2" w:rsidRDefault="00D31030" w:rsidP="007D0835">
                  <w:pPr>
                    <w:rPr>
                      <w:rFonts w:cs="Arial"/>
                      <w:b/>
                      <w:sz w:val="20"/>
                      <w:szCs w:val="20"/>
                      <w:lang w:val="en-US"/>
                    </w:rPr>
                  </w:pPr>
                  <w:r w:rsidRPr="003F6BE2">
                    <w:rPr>
                      <w:rFonts w:cs="Arial"/>
                      <w:b/>
                      <w:sz w:val="20"/>
                      <w:szCs w:val="20"/>
                      <w:lang w:val="en-US"/>
                    </w:rPr>
                    <w:t>X</w:t>
                  </w:r>
                </w:p>
              </w:tc>
            </w:tr>
          </w:tbl>
          <w:p w:rsidR="00D31030" w:rsidRPr="003F6BE2" w:rsidRDefault="00D31030" w:rsidP="007D0835">
            <w:pPr>
              <w:rPr>
                <w:rFonts w:eastAsia="MS Mincho" w:cs="Arial"/>
                <w:b/>
                <w:sz w:val="20"/>
                <w:szCs w:val="20"/>
                <w:lang w:val="en-US" w:eastAsia="ja-JP"/>
              </w:rPr>
            </w:pPr>
          </w:p>
          <w:p w:rsidR="00D31030" w:rsidRPr="003F6BE2" w:rsidRDefault="00D31030" w:rsidP="007D0835">
            <w:pPr>
              <w:rPr>
                <w:rFonts w:eastAsia="MS Mincho" w:cs="Arial"/>
                <w:b/>
                <w:sz w:val="20"/>
                <w:szCs w:val="20"/>
                <w:lang w:val="en-US" w:eastAsia="ja-JP"/>
              </w:rPr>
            </w:pPr>
            <w:r w:rsidRPr="003F6BE2">
              <w:rPr>
                <w:rFonts w:eastAsia="MS Mincho" w:cs="Arial"/>
                <w:b/>
                <w:sz w:val="20"/>
                <w:szCs w:val="20"/>
                <w:lang w:val="en-US" w:eastAsia="ja-JP"/>
              </w:rPr>
              <w:t>2.2</w:t>
            </w:r>
            <w:r w:rsidRPr="003F6BE2">
              <w:rPr>
                <w:rFonts w:eastAsia="MS Mincho" w:cs="Arial"/>
                <w:b/>
                <w:sz w:val="20"/>
                <w:szCs w:val="20"/>
                <w:lang w:val="en-US" w:eastAsia="ja-JP"/>
              </w:rPr>
              <w:tab/>
              <w:t>Local defined outcomes</w:t>
            </w:r>
          </w:p>
          <w:p w:rsidR="00D31030" w:rsidRPr="003F6BE2" w:rsidRDefault="00D31030" w:rsidP="007D0835">
            <w:pPr>
              <w:rPr>
                <w:rFonts w:eastAsia="MS Mincho" w:cs="Arial"/>
                <w:b/>
                <w:sz w:val="20"/>
                <w:szCs w:val="20"/>
                <w:lang w:val="en-US" w:eastAsia="ja-JP"/>
              </w:rPr>
            </w:pPr>
          </w:p>
          <w:p w:rsidR="00D31030" w:rsidRPr="003F6BE2" w:rsidRDefault="00D31030" w:rsidP="00D31030">
            <w:pPr>
              <w:pStyle w:val="ListParagraph"/>
              <w:numPr>
                <w:ilvl w:val="0"/>
                <w:numId w:val="5"/>
              </w:numPr>
              <w:autoSpaceDE w:val="0"/>
              <w:autoSpaceDN w:val="0"/>
              <w:adjustRightInd w:val="0"/>
              <w:rPr>
                <w:rFonts w:cs="Arial"/>
                <w:sz w:val="20"/>
                <w:szCs w:val="20"/>
              </w:rPr>
            </w:pPr>
            <w:r w:rsidRPr="003F6BE2">
              <w:rPr>
                <w:rFonts w:cs="Arial"/>
                <w:sz w:val="20"/>
                <w:szCs w:val="20"/>
              </w:rPr>
              <w:t>Locally convenient service with improved access to care</w:t>
            </w:r>
          </w:p>
          <w:p w:rsidR="00D31030" w:rsidRPr="003F6BE2" w:rsidRDefault="00D31030" w:rsidP="00D31030">
            <w:pPr>
              <w:pStyle w:val="ListParagraph"/>
              <w:numPr>
                <w:ilvl w:val="0"/>
                <w:numId w:val="5"/>
              </w:numPr>
              <w:autoSpaceDE w:val="0"/>
              <w:autoSpaceDN w:val="0"/>
              <w:adjustRightInd w:val="0"/>
              <w:rPr>
                <w:rFonts w:cs="Arial"/>
                <w:sz w:val="20"/>
                <w:szCs w:val="20"/>
              </w:rPr>
            </w:pPr>
            <w:r w:rsidRPr="003F6BE2">
              <w:rPr>
                <w:rFonts w:cs="Arial"/>
                <w:sz w:val="20"/>
                <w:szCs w:val="20"/>
              </w:rPr>
              <w:t>Improved quality of care</w:t>
            </w:r>
          </w:p>
          <w:p w:rsidR="00D31030" w:rsidRPr="003F6BE2" w:rsidRDefault="00D31030" w:rsidP="00D31030">
            <w:pPr>
              <w:pStyle w:val="ListParagraph"/>
              <w:numPr>
                <w:ilvl w:val="0"/>
                <w:numId w:val="5"/>
              </w:numPr>
              <w:spacing w:line="276" w:lineRule="auto"/>
              <w:rPr>
                <w:rFonts w:eastAsia="MS Mincho" w:cs="Arial"/>
                <w:b/>
                <w:sz w:val="20"/>
                <w:szCs w:val="20"/>
                <w:lang w:val="en-US" w:eastAsia="ja-JP"/>
              </w:rPr>
            </w:pPr>
            <w:r w:rsidRPr="003F6BE2">
              <w:rPr>
                <w:rFonts w:cs="Arial"/>
                <w:sz w:val="20"/>
                <w:szCs w:val="20"/>
              </w:rPr>
              <w:t>Reduction in number of referrals to Secondary Care</w:t>
            </w:r>
          </w:p>
          <w:p w:rsidR="00D31030" w:rsidRPr="00CF1B00" w:rsidRDefault="00D31030" w:rsidP="007D0835">
            <w:pPr>
              <w:rPr>
                <w:rFonts w:eastAsia="MS Mincho" w:cs="Arial"/>
                <w:b/>
                <w:lang w:val="en-US" w:eastAsia="ja-JP"/>
              </w:rPr>
            </w:pPr>
          </w:p>
        </w:tc>
      </w:tr>
      <w:tr w:rsidR="00D31030" w:rsidRPr="00CF1B00" w:rsidTr="007D0835">
        <w:tc>
          <w:tcPr>
            <w:tcW w:w="8414" w:type="dxa"/>
            <w:shd w:val="clear" w:color="auto" w:fill="333300"/>
          </w:tcPr>
          <w:p w:rsidR="00D31030" w:rsidRPr="00CF1B00" w:rsidRDefault="00D31030" w:rsidP="007D0835">
            <w:pPr>
              <w:rPr>
                <w:rFonts w:eastAsia="MS Mincho" w:cs="Arial"/>
                <w:b/>
                <w:lang w:val="en-US" w:eastAsia="ja-JP"/>
              </w:rPr>
            </w:pPr>
            <w:r w:rsidRPr="003F6BE2">
              <w:rPr>
                <w:rFonts w:eastAsia="MS Mincho" w:cs="Arial"/>
                <w:b/>
                <w:color w:val="FF9900"/>
                <w:lang w:val="en-US" w:eastAsia="ja-JP"/>
              </w:rPr>
              <w:t>3.</w:t>
            </w:r>
            <w:r w:rsidRPr="003F6BE2">
              <w:rPr>
                <w:rFonts w:eastAsia="MS Mincho" w:cs="Arial"/>
                <w:b/>
                <w:color w:val="FF9900"/>
                <w:lang w:val="en-US" w:eastAsia="ja-JP"/>
              </w:rPr>
              <w:tab/>
              <w:t>Scope</w:t>
            </w:r>
          </w:p>
        </w:tc>
      </w:tr>
      <w:tr w:rsidR="00D31030" w:rsidRPr="00CF1B00" w:rsidTr="007D0835">
        <w:tc>
          <w:tcPr>
            <w:tcW w:w="8414" w:type="dxa"/>
            <w:shd w:val="clear" w:color="auto" w:fill="auto"/>
          </w:tcPr>
          <w:p w:rsidR="00D31030" w:rsidRPr="003F6BE2" w:rsidRDefault="00D31030" w:rsidP="007D0835">
            <w:pPr>
              <w:rPr>
                <w:rFonts w:eastAsia="MS Mincho" w:cs="Arial"/>
                <w:sz w:val="20"/>
                <w:szCs w:val="20"/>
                <w:lang w:val="en-US" w:eastAsia="ja-JP"/>
              </w:rPr>
            </w:pPr>
          </w:p>
          <w:p w:rsidR="00D31030" w:rsidRPr="003F6BE2" w:rsidRDefault="00D31030" w:rsidP="007D0835">
            <w:pPr>
              <w:rPr>
                <w:rFonts w:eastAsia="MS Mincho" w:cs="Arial"/>
                <w:b/>
                <w:sz w:val="20"/>
                <w:szCs w:val="20"/>
                <w:lang w:val="en-US" w:eastAsia="ja-JP"/>
              </w:rPr>
            </w:pPr>
            <w:r w:rsidRPr="003F6BE2">
              <w:rPr>
                <w:rFonts w:eastAsia="MS Mincho" w:cs="Arial"/>
                <w:b/>
                <w:sz w:val="20"/>
                <w:szCs w:val="20"/>
                <w:lang w:val="en-US" w:eastAsia="ja-JP"/>
              </w:rPr>
              <w:t>3.1</w:t>
            </w:r>
            <w:r w:rsidRPr="003F6BE2">
              <w:rPr>
                <w:rFonts w:eastAsia="MS Mincho" w:cs="Arial"/>
                <w:b/>
                <w:sz w:val="20"/>
                <w:szCs w:val="20"/>
                <w:lang w:val="en-US" w:eastAsia="ja-JP"/>
              </w:rPr>
              <w:tab/>
              <w:t>Aims and objectives of service</w:t>
            </w:r>
          </w:p>
          <w:p w:rsidR="00D31030" w:rsidRPr="003F6BE2" w:rsidRDefault="00D31030" w:rsidP="007D0835">
            <w:pPr>
              <w:rPr>
                <w:rFonts w:eastAsia="MS Mincho" w:cs="Arial"/>
                <w:sz w:val="20"/>
                <w:szCs w:val="20"/>
                <w:lang w:val="en-US" w:eastAsia="ja-JP"/>
              </w:rPr>
            </w:pPr>
          </w:p>
          <w:p w:rsidR="00D31030" w:rsidRPr="003F6BE2" w:rsidRDefault="00D31030" w:rsidP="007D0835">
            <w:pPr>
              <w:autoSpaceDE w:val="0"/>
              <w:autoSpaceDN w:val="0"/>
              <w:adjustRightInd w:val="0"/>
              <w:rPr>
                <w:rFonts w:cs="Arial"/>
                <w:sz w:val="20"/>
                <w:szCs w:val="20"/>
              </w:rPr>
            </w:pPr>
            <w:r w:rsidRPr="003F6BE2">
              <w:rPr>
                <w:rFonts w:cs="Arial"/>
                <w:sz w:val="20"/>
                <w:szCs w:val="20"/>
              </w:rPr>
              <w:t xml:space="preserve">This service </w:t>
            </w:r>
            <w:r>
              <w:rPr>
                <w:rFonts w:cs="Arial"/>
                <w:sz w:val="20"/>
                <w:szCs w:val="20"/>
              </w:rPr>
              <w:t>shall</w:t>
            </w:r>
            <w:r w:rsidRPr="003F6BE2">
              <w:rPr>
                <w:rFonts w:cs="Arial"/>
                <w:sz w:val="20"/>
                <w:szCs w:val="20"/>
              </w:rPr>
              <w:t xml:space="preserve"> allow provision of effective first-line management of menorrhagia and </w:t>
            </w:r>
            <w:r w:rsidRPr="003F6BE2">
              <w:rPr>
                <w:rFonts w:cs="Arial"/>
                <w:color w:val="000000"/>
                <w:sz w:val="20"/>
                <w:szCs w:val="20"/>
                <w:lang w:val="en" w:eastAsia="en-GB"/>
              </w:rPr>
              <w:t xml:space="preserve">protection from endometrial hyperplasia </w:t>
            </w:r>
            <w:r w:rsidRPr="003F6BE2">
              <w:rPr>
                <w:rFonts w:cs="Arial"/>
                <w:sz w:val="20"/>
                <w:szCs w:val="20"/>
              </w:rPr>
              <w:t xml:space="preserve">using the LNG-IUS within Primary Care. </w:t>
            </w:r>
          </w:p>
          <w:p w:rsidR="00D31030" w:rsidRPr="003F6BE2" w:rsidRDefault="00D31030" w:rsidP="007D0835">
            <w:pPr>
              <w:autoSpaceDE w:val="0"/>
              <w:autoSpaceDN w:val="0"/>
              <w:adjustRightInd w:val="0"/>
              <w:rPr>
                <w:rFonts w:cs="Arial"/>
                <w:sz w:val="20"/>
                <w:szCs w:val="20"/>
              </w:rPr>
            </w:pPr>
          </w:p>
          <w:p w:rsidR="00D31030" w:rsidRPr="003F6BE2" w:rsidRDefault="00D31030" w:rsidP="007D0835">
            <w:pPr>
              <w:autoSpaceDE w:val="0"/>
              <w:autoSpaceDN w:val="0"/>
              <w:adjustRightInd w:val="0"/>
              <w:rPr>
                <w:rFonts w:cs="Arial"/>
                <w:sz w:val="20"/>
                <w:szCs w:val="20"/>
              </w:rPr>
            </w:pPr>
            <w:r w:rsidRPr="003F6BE2">
              <w:rPr>
                <w:rFonts w:cs="Arial"/>
                <w:sz w:val="20"/>
                <w:szCs w:val="20"/>
              </w:rPr>
              <w:t xml:space="preserve">Patients requiring an IUS for contraception are excluded from this service and any related </w:t>
            </w:r>
            <w:r w:rsidRPr="003F6BE2">
              <w:rPr>
                <w:rFonts w:cs="Arial"/>
                <w:sz w:val="20"/>
                <w:szCs w:val="20"/>
              </w:rPr>
              <w:lastRenderedPageBreak/>
              <w:t xml:space="preserve">activity </w:t>
            </w:r>
            <w:r>
              <w:rPr>
                <w:rFonts w:cs="Arial"/>
                <w:sz w:val="20"/>
                <w:szCs w:val="20"/>
              </w:rPr>
              <w:t>shall</w:t>
            </w:r>
            <w:r w:rsidRPr="003F6BE2">
              <w:rPr>
                <w:rFonts w:cs="Arial"/>
                <w:sz w:val="20"/>
                <w:szCs w:val="20"/>
              </w:rPr>
              <w:t xml:space="preserve"> be claimed under the LARC service commissioned by Public Health.</w:t>
            </w:r>
          </w:p>
          <w:p w:rsidR="00D31030" w:rsidRPr="003F6BE2" w:rsidRDefault="00D31030" w:rsidP="007D0835">
            <w:pPr>
              <w:rPr>
                <w:rFonts w:eastAsia="MS Mincho" w:cs="Arial"/>
                <w:sz w:val="20"/>
                <w:szCs w:val="20"/>
                <w:lang w:val="en-US" w:eastAsia="ja-JP"/>
              </w:rPr>
            </w:pPr>
          </w:p>
          <w:p w:rsidR="00D31030" w:rsidRPr="003F6BE2" w:rsidRDefault="00D31030" w:rsidP="007D0835">
            <w:pPr>
              <w:rPr>
                <w:rFonts w:eastAsia="MS Mincho" w:cs="Arial"/>
                <w:b/>
                <w:sz w:val="20"/>
                <w:szCs w:val="20"/>
                <w:lang w:val="en-US" w:eastAsia="ja-JP"/>
              </w:rPr>
            </w:pPr>
            <w:r w:rsidRPr="003F6BE2">
              <w:rPr>
                <w:rFonts w:eastAsia="MS Mincho" w:cs="Arial"/>
                <w:b/>
                <w:sz w:val="20"/>
                <w:szCs w:val="20"/>
                <w:lang w:val="en-US" w:eastAsia="ja-JP"/>
              </w:rPr>
              <w:t>3.2</w:t>
            </w:r>
            <w:r w:rsidRPr="003F6BE2">
              <w:rPr>
                <w:rFonts w:eastAsia="MS Mincho" w:cs="Arial"/>
                <w:b/>
                <w:sz w:val="20"/>
                <w:szCs w:val="20"/>
                <w:lang w:val="en-US" w:eastAsia="ja-JP"/>
              </w:rPr>
              <w:tab/>
              <w:t>Service description/care pathway</w:t>
            </w:r>
          </w:p>
          <w:p w:rsidR="00D31030" w:rsidRPr="003F6BE2" w:rsidRDefault="00D31030" w:rsidP="007D0835">
            <w:pPr>
              <w:rPr>
                <w:rFonts w:eastAsia="MS Mincho" w:cs="Arial"/>
                <w:sz w:val="20"/>
                <w:szCs w:val="20"/>
                <w:lang w:val="en-US" w:eastAsia="ja-JP"/>
              </w:rPr>
            </w:pPr>
          </w:p>
          <w:p w:rsidR="00D31030" w:rsidRPr="003F6BE2" w:rsidRDefault="00D31030" w:rsidP="007D0835">
            <w:pPr>
              <w:autoSpaceDE w:val="0"/>
              <w:autoSpaceDN w:val="0"/>
              <w:adjustRightInd w:val="0"/>
              <w:rPr>
                <w:rFonts w:cs="Arial"/>
                <w:sz w:val="20"/>
                <w:szCs w:val="20"/>
              </w:rPr>
            </w:pPr>
            <w:r w:rsidRPr="003F6BE2">
              <w:rPr>
                <w:rFonts w:cs="Arial"/>
                <w:sz w:val="20"/>
                <w:szCs w:val="20"/>
              </w:rPr>
              <w:t>Fitting o</w:t>
            </w:r>
            <w:r>
              <w:rPr>
                <w:rFonts w:cs="Arial"/>
                <w:sz w:val="20"/>
                <w:szCs w:val="20"/>
              </w:rPr>
              <w:t>f LNG-IUS in primary care shall</w:t>
            </w:r>
            <w:r w:rsidRPr="003F6BE2">
              <w:rPr>
                <w:rFonts w:cs="Arial"/>
                <w:sz w:val="20"/>
                <w:szCs w:val="20"/>
              </w:rPr>
              <w:t xml:space="preserve"> be carried out in line with NICE clinical guidelines (e.g. NG88, Heavy Menstrual Bleeding). </w:t>
            </w:r>
            <w:r w:rsidR="00C35672">
              <w:rPr>
                <w:rFonts w:cs="Arial"/>
                <w:sz w:val="20"/>
                <w:szCs w:val="20"/>
              </w:rPr>
              <w:t xml:space="preserve"> The system must be fitted and removed by a qualified practitioner.</w:t>
            </w:r>
          </w:p>
          <w:p w:rsidR="00D31030" w:rsidRPr="003F6BE2" w:rsidRDefault="00D31030" w:rsidP="007D0835">
            <w:pPr>
              <w:autoSpaceDE w:val="0"/>
              <w:autoSpaceDN w:val="0"/>
              <w:adjustRightInd w:val="0"/>
              <w:rPr>
                <w:rFonts w:cs="Arial"/>
                <w:sz w:val="20"/>
                <w:szCs w:val="20"/>
              </w:rPr>
            </w:pPr>
          </w:p>
          <w:p w:rsidR="00D31030" w:rsidRPr="003F6BE2" w:rsidRDefault="00D31030" w:rsidP="007D0835">
            <w:pPr>
              <w:autoSpaceDE w:val="0"/>
              <w:autoSpaceDN w:val="0"/>
              <w:adjustRightInd w:val="0"/>
              <w:rPr>
                <w:rFonts w:cs="Arial"/>
                <w:sz w:val="20"/>
                <w:szCs w:val="20"/>
              </w:rPr>
            </w:pPr>
            <w:r w:rsidRPr="003F6BE2">
              <w:rPr>
                <w:rFonts w:cs="Arial"/>
                <w:sz w:val="20"/>
                <w:szCs w:val="20"/>
              </w:rPr>
              <w:t>This service requires practices to:</w:t>
            </w:r>
          </w:p>
          <w:p w:rsidR="00D31030" w:rsidRPr="003F6BE2" w:rsidRDefault="00D31030" w:rsidP="007D0835">
            <w:pPr>
              <w:autoSpaceDE w:val="0"/>
              <w:autoSpaceDN w:val="0"/>
              <w:adjustRightInd w:val="0"/>
              <w:rPr>
                <w:rFonts w:cs="Arial"/>
                <w:sz w:val="20"/>
                <w:szCs w:val="20"/>
              </w:rPr>
            </w:pPr>
          </w:p>
          <w:p w:rsidR="00D31030" w:rsidRPr="003F6BE2" w:rsidRDefault="00D31030" w:rsidP="00D31030">
            <w:pPr>
              <w:pStyle w:val="ListParagraph"/>
              <w:numPr>
                <w:ilvl w:val="0"/>
                <w:numId w:val="6"/>
              </w:numPr>
              <w:autoSpaceDE w:val="0"/>
              <w:autoSpaceDN w:val="0"/>
              <w:adjustRightInd w:val="0"/>
              <w:rPr>
                <w:rFonts w:cs="Arial"/>
                <w:sz w:val="20"/>
                <w:szCs w:val="20"/>
              </w:rPr>
            </w:pPr>
            <w:r w:rsidRPr="003F6BE2">
              <w:rPr>
                <w:rFonts w:cs="Arial"/>
                <w:sz w:val="20"/>
                <w:szCs w:val="20"/>
              </w:rPr>
              <w:t xml:space="preserve">Undertake a risk assessment. </w:t>
            </w:r>
          </w:p>
          <w:p w:rsidR="00D31030" w:rsidRPr="003F6BE2" w:rsidRDefault="00D31030" w:rsidP="00D31030">
            <w:pPr>
              <w:pStyle w:val="ListParagraph"/>
              <w:numPr>
                <w:ilvl w:val="0"/>
                <w:numId w:val="6"/>
              </w:numPr>
              <w:autoSpaceDE w:val="0"/>
              <w:autoSpaceDN w:val="0"/>
              <w:adjustRightInd w:val="0"/>
              <w:rPr>
                <w:rFonts w:cs="Arial"/>
                <w:sz w:val="20"/>
                <w:szCs w:val="20"/>
              </w:rPr>
            </w:pPr>
            <w:r w:rsidRPr="003F6BE2">
              <w:rPr>
                <w:rFonts w:cs="Arial"/>
                <w:sz w:val="20"/>
                <w:szCs w:val="20"/>
              </w:rPr>
              <w:t>Fit, monitor, check and remove LNG-IUS as appropriate for the</w:t>
            </w:r>
          </w:p>
          <w:p w:rsidR="00D31030" w:rsidRPr="003F6BE2" w:rsidRDefault="00D31030" w:rsidP="007D0835">
            <w:pPr>
              <w:pStyle w:val="ListParagraph"/>
              <w:autoSpaceDE w:val="0"/>
              <w:autoSpaceDN w:val="0"/>
              <w:adjustRightInd w:val="0"/>
              <w:ind w:left="1080"/>
              <w:rPr>
                <w:rFonts w:cs="Arial"/>
                <w:sz w:val="20"/>
                <w:szCs w:val="20"/>
              </w:rPr>
            </w:pPr>
            <w:proofErr w:type="gramStart"/>
            <w:r w:rsidRPr="003F6BE2">
              <w:rPr>
                <w:rFonts w:cs="Arial"/>
                <w:sz w:val="20"/>
                <w:szCs w:val="20"/>
              </w:rPr>
              <w:t>management</w:t>
            </w:r>
            <w:proofErr w:type="gramEnd"/>
            <w:r w:rsidRPr="003F6BE2">
              <w:rPr>
                <w:rFonts w:cs="Arial"/>
                <w:sz w:val="20"/>
                <w:szCs w:val="20"/>
              </w:rPr>
              <w:t xml:space="preserve"> of menorrhagia and </w:t>
            </w:r>
            <w:r w:rsidRPr="003F6BE2">
              <w:rPr>
                <w:rFonts w:cs="Arial"/>
                <w:color w:val="000000"/>
                <w:sz w:val="20"/>
                <w:szCs w:val="20"/>
                <w:lang w:val="en" w:eastAsia="en-GB"/>
              </w:rPr>
              <w:t>protecti</w:t>
            </w:r>
            <w:r w:rsidR="00BE3AD3">
              <w:rPr>
                <w:rFonts w:cs="Arial"/>
                <w:color w:val="000000"/>
                <w:sz w:val="20"/>
                <w:szCs w:val="20"/>
                <w:lang w:val="en" w:eastAsia="en-GB"/>
              </w:rPr>
              <w:t>on from endometrial hyperplasia.</w:t>
            </w:r>
          </w:p>
          <w:p w:rsidR="00D31030" w:rsidRPr="003F6BE2" w:rsidRDefault="00D31030" w:rsidP="00D31030">
            <w:pPr>
              <w:pStyle w:val="ListParagraph"/>
              <w:numPr>
                <w:ilvl w:val="0"/>
                <w:numId w:val="6"/>
              </w:numPr>
              <w:autoSpaceDE w:val="0"/>
              <w:autoSpaceDN w:val="0"/>
              <w:adjustRightInd w:val="0"/>
              <w:rPr>
                <w:rFonts w:cs="Arial"/>
                <w:sz w:val="20"/>
                <w:szCs w:val="20"/>
              </w:rPr>
            </w:pPr>
            <w:r w:rsidRPr="003F6BE2">
              <w:rPr>
                <w:rFonts w:cs="Arial"/>
                <w:sz w:val="20"/>
                <w:szCs w:val="20"/>
              </w:rPr>
              <w:t xml:space="preserve">Maintain an up-to-date register of patients fitted with an LNG-IUS. This </w:t>
            </w:r>
            <w:r>
              <w:rPr>
                <w:rFonts w:cs="Arial"/>
                <w:sz w:val="20"/>
                <w:szCs w:val="20"/>
              </w:rPr>
              <w:t>shall</w:t>
            </w:r>
            <w:r w:rsidRPr="003F6BE2">
              <w:rPr>
                <w:rFonts w:cs="Arial"/>
                <w:sz w:val="20"/>
                <w:szCs w:val="20"/>
              </w:rPr>
              <w:t xml:space="preserve"> include the name of the fitting clinician and details of the device fitted for audit purposes.</w:t>
            </w:r>
          </w:p>
          <w:p w:rsidR="00B40783" w:rsidRDefault="00D31030" w:rsidP="00D31030">
            <w:pPr>
              <w:pStyle w:val="ListParagraph"/>
              <w:numPr>
                <w:ilvl w:val="0"/>
                <w:numId w:val="6"/>
              </w:numPr>
              <w:autoSpaceDE w:val="0"/>
              <w:autoSpaceDN w:val="0"/>
              <w:adjustRightInd w:val="0"/>
              <w:rPr>
                <w:rFonts w:cs="Arial"/>
                <w:sz w:val="20"/>
                <w:szCs w:val="20"/>
              </w:rPr>
            </w:pPr>
            <w:r w:rsidRPr="00B40783">
              <w:rPr>
                <w:rFonts w:cs="Arial"/>
                <w:sz w:val="20"/>
                <w:szCs w:val="20"/>
              </w:rPr>
              <w:t>Provide adequate equipment. Certain special equipment is required for fitting and removal. This includes an appropriate treatment room fitted with a couch and with adequate space, emergency equipment and drugs for resuscitation. For LNG-IUS fittings, a variety of vaginal specula, (and if skills allow cervical dilators, and equipment for cervical anaesthesia also) need to be available and meet sterilisation requirements. Women shall be informed about the availability of local anaesthe</w:t>
            </w:r>
            <w:r w:rsidR="00B40783" w:rsidRPr="00B40783">
              <w:rPr>
                <w:rFonts w:cs="Arial"/>
                <w:sz w:val="20"/>
                <w:szCs w:val="20"/>
              </w:rPr>
              <w:t xml:space="preserve">sia and </w:t>
            </w:r>
            <w:r w:rsidR="00B40783" w:rsidRPr="00B14426">
              <w:rPr>
                <w:rFonts w:cs="Arial"/>
                <w:sz w:val="20"/>
                <w:szCs w:val="20"/>
              </w:rPr>
              <w:t>referred into secondary care</w:t>
            </w:r>
            <w:r w:rsidRPr="00B14426">
              <w:rPr>
                <w:rFonts w:cs="Arial"/>
                <w:sz w:val="20"/>
                <w:szCs w:val="20"/>
              </w:rPr>
              <w:t xml:space="preserve">. </w:t>
            </w:r>
          </w:p>
          <w:p w:rsidR="00114514" w:rsidRPr="000A427D" w:rsidRDefault="00114514" w:rsidP="00114514">
            <w:pPr>
              <w:pStyle w:val="ListParagraph"/>
              <w:numPr>
                <w:ilvl w:val="0"/>
                <w:numId w:val="6"/>
              </w:numPr>
              <w:autoSpaceDE w:val="0"/>
              <w:autoSpaceDN w:val="0"/>
              <w:adjustRightInd w:val="0"/>
              <w:rPr>
                <w:rFonts w:cs="Arial"/>
                <w:sz w:val="20"/>
                <w:szCs w:val="20"/>
              </w:rPr>
            </w:pPr>
            <w:r w:rsidRPr="000A427D">
              <w:rPr>
                <w:rFonts w:cs="Arial"/>
                <w:sz w:val="20"/>
                <w:szCs w:val="20"/>
              </w:rPr>
              <w:t xml:space="preserve">Arrangements should be in place to ensure timely access for women requesting removal of the IUCD/IUS for any reason (including problems) or at expiry of the device.  </w:t>
            </w:r>
          </w:p>
          <w:p w:rsidR="00D31030" w:rsidRPr="00B40783" w:rsidRDefault="00D31030" w:rsidP="00D31030">
            <w:pPr>
              <w:pStyle w:val="ListParagraph"/>
              <w:numPr>
                <w:ilvl w:val="0"/>
                <w:numId w:val="6"/>
              </w:numPr>
              <w:autoSpaceDE w:val="0"/>
              <w:autoSpaceDN w:val="0"/>
              <w:adjustRightInd w:val="0"/>
              <w:rPr>
                <w:rFonts w:cs="Arial"/>
                <w:sz w:val="20"/>
                <w:szCs w:val="20"/>
              </w:rPr>
            </w:pPr>
            <w:r w:rsidRPr="00B40783">
              <w:rPr>
                <w:rFonts w:cs="Arial"/>
                <w:sz w:val="20"/>
                <w:szCs w:val="20"/>
              </w:rPr>
              <w:t xml:space="preserve">Follow-up as outlined below. </w:t>
            </w:r>
          </w:p>
          <w:p w:rsidR="00D31030" w:rsidRPr="003F6BE2" w:rsidRDefault="00D31030" w:rsidP="007D0835">
            <w:pPr>
              <w:autoSpaceDE w:val="0"/>
              <w:autoSpaceDN w:val="0"/>
              <w:adjustRightInd w:val="0"/>
              <w:rPr>
                <w:rFonts w:cs="Arial"/>
                <w:sz w:val="20"/>
                <w:szCs w:val="20"/>
              </w:rPr>
            </w:pPr>
          </w:p>
          <w:p w:rsidR="00D31030" w:rsidRPr="003F6BE2" w:rsidRDefault="00D31030" w:rsidP="007D0835">
            <w:pPr>
              <w:autoSpaceDE w:val="0"/>
              <w:autoSpaceDN w:val="0"/>
              <w:adjustRightInd w:val="0"/>
              <w:rPr>
                <w:rFonts w:cs="Arial"/>
                <w:sz w:val="20"/>
                <w:szCs w:val="20"/>
              </w:rPr>
            </w:pPr>
            <w:r w:rsidRPr="003F6BE2">
              <w:rPr>
                <w:rFonts w:cs="Arial"/>
                <w:sz w:val="20"/>
                <w:szCs w:val="20"/>
              </w:rPr>
              <w:t>A check of the device after fitting is suggested at six weeks.</w:t>
            </w:r>
            <w:r>
              <w:rPr>
                <w:rFonts w:cs="Arial"/>
                <w:sz w:val="20"/>
                <w:szCs w:val="20"/>
              </w:rPr>
              <w:t xml:space="preserve"> </w:t>
            </w:r>
            <w:r w:rsidRPr="003F6BE2">
              <w:rPr>
                <w:rFonts w:cs="Arial"/>
                <w:sz w:val="20"/>
                <w:szCs w:val="20"/>
              </w:rPr>
              <w:t xml:space="preserve">Routine annual reviews are not required but arrangements </w:t>
            </w:r>
            <w:r>
              <w:rPr>
                <w:rFonts w:cs="Arial"/>
                <w:sz w:val="20"/>
                <w:szCs w:val="20"/>
              </w:rPr>
              <w:t>shall</w:t>
            </w:r>
            <w:r w:rsidRPr="003F6BE2">
              <w:rPr>
                <w:rFonts w:cs="Arial"/>
                <w:sz w:val="20"/>
                <w:szCs w:val="20"/>
              </w:rPr>
              <w:t xml:space="preserve"> be in place to review patients experiencing problems in a timely fashion and to provide information and treatment as required.</w:t>
            </w:r>
          </w:p>
          <w:p w:rsidR="00D31030" w:rsidRPr="003F6BE2" w:rsidRDefault="00D31030" w:rsidP="007D0835">
            <w:pPr>
              <w:autoSpaceDE w:val="0"/>
              <w:autoSpaceDN w:val="0"/>
              <w:adjustRightInd w:val="0"/>
              <w:rPr>
                <w:rFonts w:cs="Arial"/>
                <w:sz w:val="20"/>
                <w:szCs w:val="20"/>
              </w:rPr>
            </w:pPr>
          </w:p>
          <w:p w:rsidR="00D31030" w:rsidRPr="00B14426" w:rsidRDefault="00D31030" w:rsidP="007D0835">
            <w:pPr>
              <w:autoSpaceDE w:val="0"/>
              <w:autoSpaceDN w:val="0"/>
              <w:adjustRightInd w:val="0"/>
              <w:rPr>
                <w:rFonts w:cs="Arial"/>
                <w:sz w:val="20"/>
                <w:szCs w:val="20"/>
              </w:rPr>
            </w:pPr>
            <w:r w:rsidRPr="00B14426">
              <w:rPr>
                <w:rFonts w:cs="Arial"/>
                <w:sz w:val="20"/>
                <w:szCs w:val="20"/>
              </w:rPr>
              <w:t xml:space="preserve">Appropriate verbal and written information about all treatment options for the management of menorrhagia or for endometrial protection shall be provided at the time of </w:t>
            </w:r>
            <w:r w:rsidR="00C46398" w:rsidRPr="00B14426">
              <w:rPr>
                <w:rFonts w:cs="Arial"/>
                <w:sz w:val="20"/>
                <w:szCs w:val="20"/>
              </w:rPr>
              <w:t>consultation</w:t>
            </w:r>
            <w:r w:rsidRPr="00B14426">
              <w:rPr>
                <w:rFonts w:cs="Arial"/>
                <w:sz w:val="20"/>
                <w:szCs w:val="20"/>
              </w:rPr>
              <w:t xml:space="preserve"> and reinforced at fitting with information on follow up, effectiveness, duration of use, side effects and those symptoms that require urgent assessment.</w:t>
            </w:r>
          </w:p>
          <w:p w:rsidR="00D31030" w:rsidRPr="003F6BE2" w:rsidRDefault="00D31030" w:rsidP="007D0835">
            <w:pPr>
              <w:autoSpaceDE w:val="0"/>
              <w:autoSpaceDN w:val="0"/>
              <w:adjustRightInd w:val="0"/>
              <w:rPr>
                <w:rFonts w:cs="Arial"/>
                <w:sz w:val="20"/>
                <w:szCs w:val="20"/>
              </w:rPr>
            </w:pPr>
          </w:p>
          <w:p w:rsidR="00D31030" w:rsidRPr="003F6BE2" w:rsidRDefault="00D31030" w:rsidP="007D0835">
            <w:pPr>
              <w:rPr>
                <w:rFonts w:eastAsia="MS Mincho" w:cs="Arial"/>
                <w:b/>
                <w:sz w:val="20"/>
                <w:szCs w:val="20"/>
                <w:lang w:val="en-US" w:eastAsia="ja-JP"/>
              </w:rPr>
            </w:pPr>
            <w:r w:rsidRPr="003F6BE2">
              <w:rPr>
                <w:rFonts w:eastAsia="MS Mincho" w:cs="Arial"/>
                <w:b/>
                <w:sz w:val="20"/>
                <w:szCs w:val="20"/>
                <w:lang w:val="en-US" w:eastAsia="ja-JP"/>
              </w:rPr>
              <w:t>3.3</w:t>
            </w:r>
            <w:r w:rsidRPr="003F6BE2">
              <w:rPr>
                <w:rFonts w:eastAsia="MS Mincho" w:cs="Arial"/>
                <w:b/>
                <w:sz w:val="20"/>
                <w:szCs w:val="20"/>
                <w:lang w:val="en-US" w:eastAsia="ja-JP"/>
              </w:rPr>
              <w:tab/>
              <w:t>Population covered</w:t>
            </w:r>
          </w:p>
          <w:p w:rsidR="00D31030" w:rsidRPr="003F6BE2" w:rsidRDefault="00D31030" w:rsidP="007D0835">
            <w:pPr>
              <w:rPr>
                <w:rFonts w:eastAsia="MS Mincho" w:cs="Arial"/>
                <w:sz w:val="20"/>
                <w:szCs w:val="20"/>
                <w:lang w:val="en-US" w:eastAsia="ja-JP"/>
              </w:rPr>
            </w:pPr>
            <w:r w:rsidRPr="003F6BE2">
              <w:rPr>
                <w:rFonts w:eastAsia="MS Mincho" w:cs="Arial"/>
                <w:sz w:val="20"/>
                <w:szCs w:val="20"/>
                <w:lang w:val="en-US" w:eastAsia="ja-JP"/>
              </w:rPr>
              <w:t xml:space="preserve">All patients registered with a </w:t>
            </w:r>
            <w:r w:rsidR="00FC00AE">
              <w:rPr>
                <w:rFonts w:eastAsia="MS Mincho" w:cs="Arial"/>
                <w:sz w:val="20"/>
                <w:szCs w:val="20"/>
                <w:lang w:val="en-US" w:eastAsia="ja-JP"/>
              </w:rPr>
              <w:t xml:space="preserve">Telford &amp; Wrekin </w:t>
            </w:r>
            <w:r w:rsidRPr="003F6BE2">
              <w:rPr>
                <w:rFonts w:eastAsia="MS Mincho" w:cs="Arial"/>
                <w:sz w:val="20"/>
                <w:szCs w:val="20"/>
                <w:lang w:val="en-US" w:eastAsia="ja-JP"/>
              </w:rPr>
              <w:t xml:space="preserve">CCG General Practice. </w:t>
            </w:r>
          </w:p>
          <w:p w:rsidR="00D31030" w:rsidRPr="003F6BE2" w:rsidRDefault="00D31030" w:rsidP="007D0835">
            <w:pPr>
              <w:rPr>
                <w:rFonts w:eastAsia="MS Mincho" w:cs="Arial"/>
                <w:sz w:val="20"/>
                <w:szCs w:val="20"/>
                <w:lang w:val="en-US" w:eastAsia="ja-JP"/>
              </w:rPr>
            </w:pPr>
          </w:p>
          <w:p w:rsidR="00D31030" w:rsidRPr="003F6BE2" w:rsidRDefault="00D31030" w:rsidP="007D0835">
            <w:pPr>
              <w:rPr>
                <w:rFonts w:eastAsia="MS Mincho" w:cs="Arial"/>
                <w:b/>
                <w:sz w:val="20"/>
                <w:szCs w:val="20"/>
                <w:lang w:val="en-US" w:eastAsia="ja-JP"/>
              </w:rPr>
            </w:pPr>
            <w:r w:rsidRPr="003F6BE2">
              <w:rPr>
                <w:rFonts w:eastAsia="MS Mincho" w:cs="Arial"/>
                <w:b/>
                <w:sz w:val="20"/>
                <w:szCs w:val="20"/>
                <w:lang w:val="en-US" w:eastAsia="ja-JP"/>
              </w:rPr>
              <w:t>3.4</w:t>
            </w:r>
            <w:r w:rsidRPr="003F6BE2">
              <w:rPr>
                <w:rFonts w:eastAsia="MS Mincho" w:cs="Arial"/>
                <w:b/>
                <w:sz w:val="20"/>
                <w:szCs w:val="20"/>
                <w:lang w:val="en-US" w:eastAsia="ja-JP"/>
              </w:rPr>
              <w:tab/>
              <w:t>Any acceptance and exclusion criteria and thresholds</w:t>
            </w:r>
          </w:p>
          <w:p w:rsidR="00D31030" w:rsidRDefault="00D31030" w:rsidP="007D0835">
            <w:pPr>
              <w:rPr>
                <w:rFonts w:cs="Arial"/>
                <w:sz w:val="20"/>
                <w:szCs w:val="20"/>
              </w:rPr>
            </w:pPr>
            <w:r>
              <w:rPr>
                <w:rFonts w:cs="Arial"/>
                <w:sz w:val="20"/>
                <w:szCs w:val="20"/>
              </w:rPr>
              <w:t xml:space="preserve">Patients requiring an IUS for the treatment of menorrhagia or </w:t>
            </w:r>
            <w:r w:rsidRPr="003F6BE2">
              <w:rPr>
                <w:rFonts w:cs="Arial"/>
                <w:color w:val="000000"/>
                <w:sz w:val="20"/>
                <w:szCs w:val="20"/>
                <w:lang w:val="en" w:eastAsia="en-GB"/>
              </w:rPr>
              <w:t>protecti</w:t>
            </w:r>
            <w:r w:rsidR="00BE3AD3">
              <w:rPr>
                <w:rFonts w:cs="Arial"/>
                <w:color w:val="000000"/>
                <w:sz w:val="20"/>
                <w:szCs w:val="20"/>
                <w:lang w:val="en" w:eastAsia="en-GB"/>
              </w:rPr>
              <w:t>on from endometrial hyperplasia.</w:t>
            </w:r>
          </w:p>
          <w:p w:rsidR="00D31030" w:rsidRDefault="00D31030" w:rsidP="007D0835">
            <w:pPr>
              <w:rPr>
                <w:rFonts w:cs="Arial"/>
                <w:sz w:val="20"/>
                <w:szCs w:val="20"/>
              </w:rPr>
            </w:pPr>
          </w:p>
          <w:p w:rsidR="00D31030" w:rsidRDefault="00D31030" w:rsidP="007D0835">
            <w:pPr>
              <w:autoSpaceDE w:val="0"/>
              <w:autoSpaceDN w:val="0"/>
              <w:adjustRightInd w:val="0"/>
              <w:rPr>
                <w:rFonts w:cs="Arial"/>
                <w:sz w:val="20"/>
                <w:szCs w:val="20"/>
              </w:rPr>
            </w:pPr>
            <w:r w:rsidRPr="003F6BE2">
              <w:rPr>
                <w:rFonts w:cs="Arial"/>
                <w:sz w:val="20"/>
                <w:szCs w:val="20"/>
              </w:rPr>
              <w:t xml:space="preserve">Patients requiring an IUS for contraception are excluded from this service and any related activity </w:t>
            </w:r>
            <w:r>
              <w:rPr>
                <w:rFonts w:cs="Arial"/>
                <w:sz w:val="20"/>
                <w:szCs w:val="20"/>
              </w:rPr>
              <w:t>shall</w:t>
            </w:r>
            <w:r w:rsidRPr="003F6BE2">
              <w:rPr>
                <w:rFonts w:cs="Arial"/>
                <w:sz w:val="20"/>
                <w:szCs w:val="20"/>
              </w:rPr>
              <w:t xml:space="preserve"> be claimed under the LARC service commissioned by Public Health.</w:t>
            </w:r>
          </w:p>
          <w:p w:rsidR="00D31030" w:rsidRPr="003F6BE2" w:rsidRDefault="00D31030" w:rsidP="007D0835">
            <w:pPr>
              <w:rPr>
                <w:rFonts w:eastAsia="MS Mincho" w:cs="Arial"/>
                <w:sz w:val="20"/>
                <w:szCs w:val="20"/>
                <w:lang w:val="en-US" w:eastAsia="ja-JP"/>
              </w:rPr>
            </w:pPr>
          </w:p>
          <w:p w:rsidR="00D31030" w:rsidRPr="003F6BE2" w:rsidRDefault="00D31030" w:rsidP="007D0835">
            <w:pPr>
              <w:rPr>
                <w:rFonts w:eastAsia="MS Mincho" w:cs="Arial"/>
                <w:b/>
                <w:sz w:val="20"/>
                <w:szCs w:val="20"/>
                <w:lang w:val="en-US" w:eastAsia="ja-JP"/>
              </w:rPr>
            </w:pPr>
            <w:r w:rsidRPr="003F6BE2">
              <w:rPr>
                <w:rFonts w:eastAsia="MS Mincho" w:cs="Arial"/>
                <w:b/>
                <w:sz w:val="20"/>
                <w:szCs w:val="20"/>
                <w:lang w:val="en-US" w:eastAsia="ja-JP"/>
              </w:rPr>
              <w:t>3.5</w:t>
            </w:r>
            <w:r w:rsidRPr="003F6BE2">
              <w:rPr>
                <w:rFonts w:eastAsia="MS Mincho" w:cs="Arial"/>
                <w:b/>
                <w:sz w:val="20"/>
                <w:szCs w:val="20"/>
                <w:lang w:val="en-US" w:eastAsia="ja-JP"/>
              </w:rPr>
              <w:tab/>
              <w:t>Interdependence with other services/providers</w:t>
            </w:r>
          </w:p>
          <w:p w:rsidR="00D31030" w:rsidRDefault="00D31030" w:rsidP="00114514">
            <w:pPr>
              <w:autoSpaceDE w:val="0"/>
              <w:autoSpaceDN w:val="0"/>
              <w:adjustRightInd w:val="0"/>
              <w:rPr>
                <w:rFonts w:cs="Arial"/>
                <w:color w:val="000000"/>
                <w:sz w:val="20"/>
                <w:szCs w:val="20"/>
              </w:rPr>
            </w:pPr>
            <w:r>
              <w:rPr>
                <w:rFonts w:cs="Arial"/>
                <w:color w:val="000000"/>
                <w:sz w:val="20"/>
                <w:szCs w:val="20"/>
              </w:rPr>
              <w:t>T</w:t>
            </w:r>
            <w:r w:rsidRPr="003F6BE2">
              <w:rPr>
                <w:rFonts w:cs="Arial"/>
                <w:color w:val="000000"/>
                <w:sz w:val="20"/>
                <w:szCs w:val="20"/>
              </w:rPr>
              <w:t>he LARC service commissioned by Public Health.</w:t>
            </w:r>
          </w:p>
          <w:p w:rsidR="00114514" w:rsidRPr="00CF1B00" w:rsidRDefault="00114514" w:rsidP="00114514">
            <w:pPr>
              <w:autoSpaceDE w:val="0"/>
              <w:autoSpaceDN w:val="0"/>
              <w:adjustRightInd w:val="0"/>
              <w:rPr>
                <w:rFonts w:eastAsia="MS Mincho" w:cs="Arial"/>
                <w:lang w:val="en-US" w:eastAsia="ja-JP"/>
              </w:rPr>
            </w:pPr>
          </w:p>
        </w:tc>
      </w:tr>
      <w:tr w:rsidR="00D31030" w:rsidRPr="00CF1B00" w:rsidTr="007D0835">
        <w:tc>
          <w:tcPr>
            <w:tcW w:w="8414" w:type="dxa"/>
            <w:shd w:val="clear" w:color="auto" w:fill="333300"/>
          </w:tcPr>
          <w:p w:rsidR="00D31030" w:rsidRPr="003F6BE2" w:rsidRDefault="00D31030" w:rsidP="007D0835">
            <w:pPr>
              <w:rPr>
                <w:rFonts w:eastAsia="MS Mincho" w:cs="Arial"/>
                <w:b/>
                <w:color w:val="FF9900"/>
                <w:lang w:val="en-US" w:eastAsia="ja-JP"/>
              </w:rPr>
            </w:pPr>
            <w:r w:rsidRPr="003F6BE2">
              <w:rPr>
                <w:rFonts w:eastAsia="MS Mincho" w:cs="Arial"/>
                <w:b/>
                <w:color w:val="FF9900"/>
                <w:lang w:val="en-US" w:eastAsia="ja-JP"/>
              </w:rPr>
              <w:lastRenderedPageBreak/>
              <w:t>4.</w:t>
            </w:r>
            <w:r w:rsidRPr="003F6BE2">
              <w:rPr>
                <w:rFonts w:eastAsia="MS Mincho" w:cs="Arial"/>
                <w:b/>
                <w:color w:val="FF9900"/>
                <w:lang w:val="en-US" w:eastAsia="ja-JP"/>
              </w:rPr>
              <w:tab/>
              <w:t>Applicable Service Standards</w:t>
            </w:r>
          </w:p>
        </w:tc>
      </w:tr>
      <w:tr w:rsidR="00D31030" w:rsidRPr="00CF1B00" w:rsidTr="007D0835">
        <w:tc>
          <w:tcPr>
            <w:tcW w:w="8414" w:type="dxa"/>
            <w:shd w:val="clear" w:color="auto" w:fill="auto"/>
          </w:tcPr>
          <w:p w:rsidR="00D31030" w:rsidRPr="003F6BE2" w:rsidRDefault="00D31030" w:rsidP="007D0835">
            <w:pPr>
              <w:rPr>
                <w:rFonts w:eastAsia="MS Mincho" w:cs="Arial"/>
                <w:sz w:val="20"/>
                <w:szCs w:val="20"/>
                <w:lang w:val="en-US" w:eastAsia="ja-JP"/>
              </w:rPr>
            </w:pPr>
          </w:p>
          <w:p w:rsidR="00D31030" w:rsidRPr="003F6BE2" w:rsidRDefault="00D31030" w:rsidP="007D0835">
            <w:pPr>
              <w:rPr>
                <w:rFonts w:eastAsia="MS Mincho" w:cs="Arial"/>
                <w:b/>
                <w:sz w:val="20"/>
                <w:szCs w:val="20"/>
                <w:lang w:val="en-US" w:eastAsia="ja-JP"/>
              </w:rPr>
            </w:pPr>
            <w:r w:rsidRPr="003F6BE2">
              <w:rPr>
                <w:rFonts w:eastAsia="MS Mincho" w:cs="Arial"/>
                <w:b/>
                <w:sz w:val="20"/>
                <w:szCs w:val="20"/>
                <w:lang w:val="en-US" w:eastAsia="ja-JP"/>
              </w:rPr>
              <w:t>4.1</w:t>
            </w:r>
            <w:r w:rsidRPr="003F6BE2">
              <w:rPr>
                <w:rFonts w:eastAsia="MS Mincho" w:cs="Arial"/>
                <w:b/>
                <w:sz w:val="20"/>
                <w:szCs w:val="20"/>
                <w:lang w:val="en-US" w:eastAsia="ja-JP"/>
              </w:rPr>
              <w:tab/>
              <w:t>Applicable national standards (</w:t>
            </w:r>
            <w:proofErr w:type="spellStart"/>
            <w:r w:rsidRPr="003F6BE2">
              <w:rPr>
                <w:rFonts w:eastAsia="MS Mincho" w:cs="Arial"/>
                <w:b/>
                <w:sz w:val="20"/>
                <w:szCs w:val="20"/>
                <w:lang w:val="en-US" w:eastAsia="ja-JP"/>
              </w:rPr>
              <w:t>eg</w:t>
            </w:r>
            <w:proofErr w:type="spellEnd"/>
            <w:r w:rsidRPr="003F6BE2">
              <w:rPr>
                <w:rFonts w:eastAsia="MS Mincho" w:cs="Arial"/>
                <w:b/>
                <w:sz w:val="20"/>
                <w:szCs w:val="20"/>
                <w:lang w:val="en-US" w:eastAsia="ja-JP"/>
              </w:rPr>
              <w:t xml:space="preserve"> NICE)</w:t>
            </w:r>
          </w:p>
          <w:p w:rsidR="00D31030" w:rsidRPr="003F6BE2" w:rsidRDefault="00D31030" w:rsidP="007D0835">
            <w:pPr>
              <w:rPr>
                <w:rFonts w:eastAsia="MS Mincho" w:cs="Arial"/>
                <w:sz w:val="20"/>
                <w:szCs w:val="20"/>
                <w:lang w:val="en-US" w:eastAsia="ja-JP"/>
              </w:rPr>
            </w:pPr>
          </w:p>
          <w:p w:rsidR="00D31030" w:rsidRPr="003F6BE2" w:rsidRDefault="00D31030" w:rsidP="007D0835">
            <w:pPr>
              <w:autoSpaceDE w:val="0"/>
              <w:autoSpaceDN w:val="0"/>
              <w:adjustRightInd w:val="0"/>
              <w:rPr>
                <w:rFonts w:cs="Arial"/>
                <w:color w:val="000000"/>
                <w:sz w:val="20"/>
                <w:szCs w:val="20"/>
              </w:rPr>
            </w:pPr>
            <w:r w:rsidRPr="003F6BE2">
              <w:rPr>
                <w:rFonts w:cs="Arial"/>
                <w:color w:val="000000"/>
                <w:sz w:val="20"/>
                <w:szCs w:val="20"/>
              </w:rPr>
              <w:t>Links to guidelines:</w:t>
            </w:r>
          </w:p>
          <w:p w:rsidR="00D31030" w:rsidRPr="003F6BE2" w:rsidRDefault="00D31030" w:rsidP="007D0835">
            <w:pPr>
              <w:autoSpaceDE w:val="0"/>
              <w:autoSpaceDN w:val="0"/>
              <w:adjustRightInd w:val="0"/>
              <w:rPr>
                <w:rFonts w:cs="Arial"/>
                <w:color w:val="000000"/>
                <w:sz w:val="20"/>
                <w:szCs w:val="20"/>
              </w:rPr>
            </w:pPr>
          </w:p>
          <w:p w:rsidR="00D31030" w:rsidRPr="003F6BE2" w:rsidRDefault="00D31030" w:rsidP="00D31030">
            <w:pPr>
              <w:pStyle w:val="ListParagraph"/>
              <w:numPr>
                <w:ilvl w:val="0"/>
                <w:numId w:val="6"/>
              </w:numPr>
              <w:autoSpaceDE w:val="0"/>
              <w:autoSpaceDN w:val="0"/>
              <w:adjustRightInd w:val="0"/>
              <w:rPr>
                <w:rFonts w:cs="Arial"/>
                <w:color w:val="0000FF"/>
                <w:sz w:val="20"/>
                <w:szCs w:val="20"/>
              </w:rPr>
            </w:pPr>
            <w:r w:rsidRPr="003F6BE2">
              <w:rPr>
                <w:rFonts w:cs="Arial"/>
                <w:color w:val="000000"/>
                <w:sz w:val="20"/>
                <w:szCs w:val="20"/>
              </w:rPr>
              <w:t xml:space="preserve">NICE Guidance: </w:t>
            </w:r>
            <w:hyperlink r:id="rId6" w:history="1">
              <w:r w:rsidRPr="003F6BE2">
                <w:rPr>
                  <w:rStyle w:val="Hyperlink"/>
                  <w:rFonts w:cs="Arial"/>
                  <w:sz w:val="20"/>
                  <w:szCs w:val="20"/>
                </w:rPr>
                <w:t>https://www.nice.org.uk/guidance/ng88</w:t>
              </w:r>
            </w:hyperlink>
            <w:r w:rsidRPr="003F6BE2">
              <w:rPr>
                <w:rFonts w:cs="Arial"/>
                <w:color w:val="000000"/>
                <w:sz w:val="20"/>
                <w:szCs w:val="20"/>
              </w:rPr>
              <w:t xml:space="preserve"> </w:t>
            </w:r>
          </w:p>
          <w:p w:rsidR="00D31030" w:rsidRPr="003F6BE2" w:rsidRDefault="005B14D0" w:rsidP="00D31030">
            <w:pPr>
              <w:pStyle w:val="ListParagraph"/>
              <w:numPr>
                <w:ilvl w:val="0"/>
                <w:numId w:val="6"/>
              </w:numPr>
              <w:autoSpaceDE w:val="0"/>
              <w:autoSpaceDN w:val="0"/>
              <w:adjustRightInd w:val="0"/>
              <w:rPr>
                <w:rFonts w:cs="Arial"/>
                <w:color w:val="0000FF"/>
                <w:sz w:val="20"/>
                <w:szCs w:val="20"/>
              </w:rPr>
            </w:pPr>
            <w:hyperlink r:id="rId7" w:history="1">
              <w:r w:rsidR="00D31030" w:rsidRPr="003F6BE2">
                <w:rPr>
                  <w:rStyle w:val="Hyperlink"/>
                  <w:rFonts w:cs="Arial"/>
                  <w:sz w:val="20"/>
                  <w:szCs w:val="20"/>
                </w:rPr>
                <w:t>https://www.medicines.org.uk/emc/medicine/1829/SPC/Mirena/</w:t>
              </w:r>
            </w:hyperlink>
          </w:p>
          <w:p w:rsidR="00D31030" w:rsidRPr="003F6BE2" w:rsidRDefault="00D31030" w:rsidP="007D0835">
            <w:pPr>
              <w:autoSpaceDE w:val="0"/>
              <w:autoSpaceDN w:val="0"/>
              <w:adjustRightInd w:val="0"/>
              <w:rPr>
                <w:rFonts w:cs="Arial"/>
                <w:color w:val="000000"/>
                <w:sz w:val="20"/>
                <w:szCs w:val="20"/>
              </w:rPr>
            </w:pPr>
            <w:r w:rsidRPr="003F6BE2">
              <w:rPr>
                <w:rFonts w:cs="Arial"/>
                <w:color w:val="000000"/>
                <w:sz w:val="20"/>
                <w:szCs w:val="20"/>
              </w:rPr>
              <w:t xml:space="preserve">Written information </w:t>
            </w:r>
            <w:r>
              <w:rPr>
                <w:rFonts w:cs="Arial"/>
                <w:color w:val="000000"/>
                <w:sz w:val="20"/>
                <w:szCs w:val="20"/>
              </w:rPr>
              <w:t>shall</w:t>
            </w:r>
            <w:r w:rsidRPr="003F6BE2">
              <w:rPr>
                <w:rFonts w:cs="Arial"/>
                <w:color w:val="000000"/>
                <w:sz w:val="20"/>
                <w:szCs w:val="20"/>
              </w:rPr>
              <w:t xml:space="preserve"> be provided at the time of counselling and reinforced after fitting </w:t>
            </w:r>
            <w:r w:rsidRPr="003F6BE2">
              <w:rPr>
                <w:rFonts w:cs="Arial"/>
                <w:color w:val="000000"/>
                <w:sz w:val="20"/>
                <w:szCs w:val="20"/>
              </w:rPr>
              <w:lastRenderedPageBreak/>
              <w:t xml:space="preserve">with information about symptoms that require urgent assessment, procedures for initiation and discontinuation. Women </w:t>
            </w:r>
            <w:r>
              <w:rPr>
                <w:rFonts w:cs="Arial"/>
                <w:color w:val="000000"/>
                <w:sz w:val="20"/>
                <w:szCs w:val="20"/>
              </w:rPr>
              <w:t>shall</w:t>
            </w:r>
            <w:r w:rsidRPr="003F6BE2">
              <w:rPr>
                <w:rFonts w:cs="Arial"/>
                <w:color w:val="000000"/>
                <w:sz w:val="20"/>
                <w:szCs w:val="20"/>
              </w:rPr>
              <w:t xml:space="preserve"> be given verbal and written details about the lifespan of the LNG-IUS, side effects and effectiveness in a format appropriate to their needs. The patient’s understanding of LNG-IUS </w:t>
            </w:r>
            <w:r>
              <w:rPr>
                <w:rFonts w:cs="Arial"/>
                <w:color w:val="000000"/>
                <w:sz w:val="20"/>
                <w:szCs w:val="20"/>
              </w:rPr>
              <w:t>shall</w:t>
            </w:r>
            <w:r w:rsidRPr="003F6BE2">
              <w:rPr>
                <w:rFonts w:cs="Arial"/>
                <w:color w:val="000000"/>
                <w:sz w:val="20"/>
                <w:szCs w:val="20"/>
              </w:rPr>
              <w:t xml:space="preserve"> be checked prior to fitting; considering use of interpreting service as required.</w:t>
            </w:r>
          </w:p>
          <w:p w:rsidR="00D31030" w:rsidRPr="003F6BE2" w:rsidRDefault="00D31030" w:rsidP="007D0835">
            <w:pPr>
              <w:rPr>
                <w:rFonts w:eastAsia="MS Mincho" w:cs="Arial"/>
                <w:sz w:val="20"/>
                <w:szCs w:val="20"/>
                <w:lang w:val="en-US" w:eastAsia="ja-JP"/>
              </w:rPr>
            </w:pPr>
          </w:p>
          <w:p w:rsidR="00D31030" w:rsidRPr="003F6BE2" w:rsidRDefault="00D31030" w:rsidP="007D0835">
            <w:pPr>
              <w:ind w:left="743" w:hanging="743"/>
              <w:rPr>
                <w:rFonts w:eastAsia="MS Mincho" w:cs="Arial"/>
                <w:b/>
                <w:sz w:val="20"/>
                <w:szCs w:val="20"/>
                <w:lang w:val="en-US" w:eastAsia="ja-JP"/>
              </w:rPr>
            </w:pPr>
            <w:r w:rsidRPr="003F6BE2">
              <w:rPr>
                <w:rFonts w:eastAsia="MS Mincho" w:cs="Arial"/>
                <w:b/>
                <w:sz w:val="20"/>
                <w:szCs w:val="20"/>
                <w:lang w:val="en-US" w:eastAsia="ja-JP"/>
              </w:rPr>
              <w:t>4.2</w:t>
            </w:r>
            <w:r w:rsidRPr="003F6BE2">
              <w:rPr>
                <w:rFonts w:eastAsia="MS Mincho" w:cs="Arial"/>
                <w:b/>
                <w:sz w:val="20"/>
                <w:szCs w:val="20"/>
                <w:lang w:val="en-US" w:eastAsia="ja-JP"/>
              </w:rPr>
              <w:tab/>
              <w:t>Applicable standards set out in Guidance and/or issued by a competent body (</w:t>
            </w:r>
            <w:proofErr w:type="spellStart"/>
            <w:r w:rsidRPr="003F6BE2">
              <w:rPr>
                <w:rFonts w:eastAsia="MS Mincho" w:cs="Arial"/>
                <w:b/>
                <w:sz w:val="20"/>
                <w:szCs w:val="20"/>
                <w:lang w:val="en-US" w:eastAsia="ja-JP"/>
              </w:rPr>
              <w:t>eg</w:t>
            </w:r>
            <w:proofErr w:type="spellEnd"/>
            <w:r w:rsidRPr="003F6BE2">
              <w:rPr>
                <w:rFonts w:eastAsia="MS Mincho" w:cs="Arial"/>
                <w:b/>
                <w:sz w:val="20"/>
                <w:szCs w:val="20"/>
                <w:lang w:val="en-US" w:eastAsia="ja-JP"/>
              </w:rPr>
              <w:t xml:space="preserve"> Royal Colleges)</w:t>
            </w:r>
          </w:p>
          <w:p w:rsidR="00D31030" w:rsidRDefault="00D31030" w:rsidP="007D0835">
            <w:pPr>
              <w:ind w:left="743" w:hanging="743"/>
              <w:rPr>
                <w:rFonts w:eastAsia="MS Mincho" w:cs="Arial"/>
                <w:sz w:val="20"/>
                <w:szCs w:val="20"/>
                <w:lang w:val="en-US" w:eastAsia="ja-JP"/>
              </w:rPr>
            </w:pPr>
          </w:p>
          <w:p w:rsidR="00D31030" w:rsidRDefault="00D31030" w:rsidP="007D0835">
            <w:pPr>
              <w:ind w:left="743" w:hanging="743"/>
              <w:rPr>
                <w:rFonts w:eastAsia="MS Mincho" w:cs="Arial"/>
                <w:sz w:val="20"/>
                <w:szCs w:val="20"/>
                <w:lang w:val="en-US" w:eastAsia="ja-JP"/>
              </w:rPr>
            </w:pPr>
            <w:r>
              <w:rPr>
                <w:rFonts w:eastAsia="MS Mincho" w:cs="Arial"/>
                <w:sz w:val="20"/>
                <w:szCs w:val="20"/>
                <w:lang w:val="en-US" w:eastAsia="ja-JP"/>
              </w:rPr>
              <w:t>None identified</w:t>
            </w:r>
          </w:p>
          <w:p w:rsidR="00D31030" w:rsidRPr="003F6BE2" w:rsidRDefault="00D31030" w:rsidP="007D0835">
            <w:pPr>
              <w:ind w:left="743" w:hanging="743"/>
              <w:rPr>
                <w:rFonts w:eastAsia="MS Mincho" w:cs="Arial"/>
                <w:sz w:val="20"/>
                <w:szCs w:val="20"/>
                <w:lang w:val="en-US" w:eastAsia="ja-JP"/>
              </w:rPr>
            </w:pPr>
          </w:p>
          <w:p w:rsidR="00D31030" w:rsidRPr="003F6BE2" w:rsidRDefault="00D31030" w:rsidP="007D0835">
            <w:pPr>
              <w:rPr>
                <w:rFonts w:eastAsia="MS Mincho" w:cs="Arial"/>
                <w:b/>
                <w:sz w:val="20"/>
                <w:szCs w:val="20"/>
                <w:lang w:val="en-US" w:eastAsia="ja-JP"/>
              </w:rPr>
            </w:pPr>
            <w:r w:rsidRPr="003F6BE2">
              <w:rPr>
                <w:rFonts w:eastAsia="MS Mincho" w:cs="Arial"/>
                <w:b/>
                <w:sz w:val="20"/>
                <w:szCs w:val="20"/>
                <w:lang w:val="en-US" w:eastAsia="ja-JP"/>
              </w:rPr>
              <w:t>4.3</w:t>
            </w:r>
            <w:r w:rsidRPr="003F6BE2">
              <w:rPr>
                <w:rFonts w:eastAsia="MS Mincho" w:cs="Arial"/>
                <w:b/>
                <w:sz w:val="20"/>
                <w:szCs w:val="20"/>
                <w:lang w:val="en-US" w:eastAsia="ja-JP"/>
              </w:rPr>
              <w:tab/>
              <w:t>Applicable local standards</w:t>
            </w:r>
          </w:p>
          <w:p w:rsidR="00D31030" w:rsidRPr="003F6BE2" w:rsidRDefault="00D31030" w:rsidP="007D0835">
            <w:pPr>
              <w:rPr>
                <w:rFonts w:eastAsia="MS Mincho" w:cs="Arial"/>
                <w:sz w:val="20"/>
                <w:szCs w:val="20"/>
                <w:lang w:val="en-US" w:eastAsia="ja-JP"/>
              </w:rPr>
            </w:pPr>
          </w:p>
          <w:p w:rsidR="00D31030" w:rsidRPr="003F6BE2" w:rsidRDefault="00D31030" w:rsidP="007D0835">
            <w:pPr>
              <w:autoSpaceDE w:val="0"/>
              <w:autoSpaceDN w:val="0"/>
              <w:adjustRightInd w:val="0"/>
              <w:rPr>
                <w:rFonts w:cs="Arial"/>
                <w:b/>
                <w:bCs w:val="0"/>
                <w:color w:val="000000"/>
                <w:sz w:val="20"/>
                <w:szCs w:val="20"/>
              </w:rPr>
            </w:pPr>
            <w:r w:rsidRPr="003F6BE2">
              <w:rPr>
                <w:rFonts w:cs="Arial"/>
                <w:b/>
                <w:color w:val="000000"/>
                <w:sz w:val="20"/>
                <w:szCs w:val="20"/>
              </w:rPr>
              <w:t>Equal Opportunities</w:t>
            </w:r>
          </w:p>
          <w:p w:rsidR="00D31030" w:rsidRPr="003F6BE2" w:rsidRDefault="00D31030" w:rsidP="007D0835">
            <w:pPr>
              <w:autoSpaceDE w:val="0"/>
              <w:autoSpaceDN w:val="0"/>
              <w:adjustRightInd w:val="0"/>
              <w:rPr>
                <w:rFonts w:cs="Arial"/>
                <w:b/>
                <w:bCs w:val="0"/>
                <w:color w:val="000000"/>
                <w:sz w:val="20"/>
                <w:szCs w:val="20"/>
              </w:rPr>
            </w:pPr>
          </w:p>
          <w:p w:rsidR="00D31030" w:rsidRPr="003F6BE2" w:rsidRDefault="00D31030" w:rsidP="007D0835">
            <w:pPr>
              <w:autoSpaceDE w:val="0"/>
              <w:autoSpaceDN w:val="0"/>
              <w:adjustRightInd w:val="0"/>
              <w:rPr>
                <w:rFonts w:cs="Arial"/>
                <w:color w:val="000000"/>
                <w:sz w:val="20"/>
                <w:szCs w:val="20"/>
              </w:rPr>
            </w:pPr>
            <w:r w:rsidRPr="003F6BE2">
              <w:rPr>
                <w:rFonts w:cs="Arial"/>
                <w:color w:val="000000"/>
                <w:sz w:val="20"/>
                <w:szCs w:val="20"/>
              </w:rPr>
              <w:t>The service provider must demonstrate how they meet equal opportunity</w:t>
            </w:r>
          </w:p>
          <w:p w:rsidR="00D31030" w:rsidRDefault="00D31030" w:rsidP="007D0835">
            <w:pPr>
              <w:autoSpaceDE w:val="0"/>
              <w:autoSpaceDN w:val="0"/>
              <w:adjustRightInd w:val="0"/>
              <w:rPr>
                <w:rFonts w:cs="Arial"/>
                <w:color w:val="000000"/>
                <w:sz w:val="20"/>
                <w:szCs w:val="20"/>
              </w:rPr>
            </w:pPr>
            <w:r w:rsidRPr="003F6BE2">
              <w:rPr>
                <w:rFonts w:cs="Arial"/>
                <w:color w:val="000000"/>
                <w:sz w:val="20"/>
                <w:szCs w:val="20"/>
              </w:rPr>
              <w:t>requirements in the following areas:</w:t>
            </w:r>
          </w:p>
          <w:p w:rsidR="00D31030" w:rsidRPr="003F6BE2" w:rsidRDefault="00D31030" w:rsidP="007D0835">
            <w:pPr>
              <w:autoSpaceDE w:val="0"/>
              <w:autoSpaceDN w:val="0"/>
              <w:adjustRightInd w:val="0"/>
              <w:rPr>
                <w:rFonts w:cs="Arial"/>
                <w:color w:val="000000"/>
                <w:sz w:val="20"/>
                <w:szCs w:val="20"/>
              </w:rPr>
            </w:pPr>
          </w:p>
          <w:p w:rsidR="00D31030" w:rsidRPr="003F6BE2" w:rsidRDefault="00D31030" w:rsidP="00D31030">
            <w:pPr>
              <w:pStyle w:val="ListParagraph"/>
              <w:numPr>
                <w:ilvl w:val="0"/>
                <w:numId w:val="6"/>
              </w:numPr>
              <w:autoSpaceDE w:val="0"/>
              <w:autoSpaceDN w:val="0"/>
              <w:adjustRightInd w:val="0"/>
              <w:rPr>
                <w:rFonts w:cs="Arial"/>
                <w:color w:val="000000"/>
                <w:sz w:val="20"/>
                <w:szCs w:val="20"/>
              </w:rPr>
            </w:pPr>
            <w:r w:rsidRPr="003F6BE2">
              <w:rPr>
                <w:rFonts w:cs="Arial"/>
                <w:color w:val="000000"/>
                <w:sz w:val="20"/>
                <w:szCs w:val="20"/>
              </w:rPr>
              <w:t>They must be committed to equal opportunities and must not discriminate in performance of the service towards service users or members of staff in any way;</w:t>
            </w:r>
          </w:p>
          <w:p w:rsidR="00D31030" w:rsidRPr="003F6BE2" w:rsidRDefault="00D31030" w:rsidP="00D31030">
            <w:pPr>
              <w:pStyle w:val="ListParagraph"/>
              <w:numPr>
                <w:ilvl w:val="0"/>
                <w:numId w:val="6"/>
              </w:numPr>
              <w:autoSpaceDE w:val="0"/>
              <w:autoSpaceDN w:val="0"/>
              <w:adjustRightInd w:val="0"/>
              <w:rPr>
                <w:rFonts w:cs="Arial"/>
                <w:color w:val="000000"/>
                <w:sz w:val="20"/>
                <w:szCs w:val="20"/>
              </w:rPr>
            </w:pPr>
            <w:r w:rsidRPr="003F6BE2">
              <w:rPr>
                <w:rFonts w:cs="Arial"/>
                <w:color w:val="000000"/>
                <w:sz w:val="20"/>
                <w:szCs w:val="20"/>
              </w:rPr>
              <w:t>The service provider must be able to provide chaperones at the patient’s request;</w:t>
            </w:r>
          </w:p>
          <w:p w:rsidR="00D31030" w:rsidRPr="003F6BE2" w:rsidRDefault="00D31030" w:rsidP="00D31030">
            <w:pPr>
              <w:pStyle w:val="ListParagraph"/>
              <w:numPr>
                <w:ilvl w:val="0"/>
                <w:numId w:val="6"/>
              </w:numPr>
              <w:autoSpaceDE w:val="0"/>
              <w:autoSpaceDN w:val="0"/>
              <w:adjustRightInd w:val="0"/>
              <w:rPr>
                <w:rFonts w:cs="Arial"/>
                <w:color w:val="000000"/>
                <w:sz w:val="20"/>
                <w:szCs w:val="20"/>
              </w:rPr>
            </w:pPr>
            <w:r w:rsidRPr="003F6BE2">
              <w:rPr>
                <w:rFonts w:cs="Arial"/>
                <w:color w:val="000000"/>
                <w:sz w:val="20"/>
                <w:szCs w:val="20"/>
              </w:rPr>
              <w:t>The service provider must also be able to provide premises, facilities and treatment rooms that are compliant with disability legislation;</w:t>
            </w:r>
          </w:p>
          <w:p w:rsidR="00D31030" w:rsidRPr="003F6BE2" w:rsidRDefault="00D31030" w:rsidP="00D31030">
            <w:pPr>
              <w:pStyle w:val="ListParagraph"/>
              <w:numPr>
                <w:ilvl w:val="0"/>
                <w:numId w:val="6"/>
              </w:numPr>
              <w:autoSpaceDE w:val="0"/>
              <w:autoSpaceDN w:val="0"/>
              <w:adjustRightInd w:val="0"/>
              <w:rPr>
                <w:rFonts w:cs="Arial"/>
                <w:color w:val="000000"/>
                <w:sz w:val="20"/>
                <w:szCs w:val="20"/>
              </w:rPr>
            </w:pPr>
            <w:r w:rsidRPr="003F6BE2">
              <w:rPr>
                <w:rFonts w:cs="Arial"/>
                <w:color w:val="000000"/>
                <w:sz w:val="20"/>
                <w:szCs w:val="20"/>
              </w:rPr>
              <w:t>The service provider must be able to provide access to foreign language interpreter if necessary.</w:t>
            </w:r>
          </w:p>
          <w:p w:rsidR="00D31030" w:rsidRPr="003F6BE2" w:rsidRDefault="00D31030" w:rsidP="007D0835">
            <w:pPr>
              <w:rPr>
                <w:rFonts w:cs="Arial"/>
                <w:color w:val="000000"/>
                <w:sz w:val="20"/>
                <w:szCs w:val="20"/>
              </w:rPr>
            </w:pPr>
          </w:p>
          <w:p w:rsidR="00D31030" w:rsidRPr="003F6BE2" w:rsidRDefault="00D31030" w:rsidP="007D0835">
            <w:pPr>
              <w:autoSpaceDE w:val="0"/>
              <w:autoSpaceDN w:val="0"/>
              <w:adjustRightInd w:val="0"/>
              <w:rPr>
                <w:rFonts w:cs="Arial"/>
                <w:b/>
                <w:bCs w:val="0"/>
                <w:sz w:val="20"/>
                <w:szCs w:val="20"/>
              </w:rPr>
            </w:pPr>
            <w:r w:rsidRPr="003F6BE2">
              <w:rPr>
                <w:rFonts w:cs="Arial"/>
                <w:b/>
                <w:sz w:val="20"/>
                <w:szCs w:val="20"/>
              </w:rPr>
              <w:t>Clinical Qualifications</w:t>
            </w:r>
          </w:p>
          <w:p w:rsidR="00D31030" w:rsidRPr="003F6BE2" w:rsidRDefault="00D31030" w:rsidP="007D0835">
            <w:pPr>
              <w:autoSpaceDE w:val="0"/>
              <w:autoSpaceDN w:val="0"/>
              <w:adjustRightInd w:val="0"/>
              <w:rPr>
                <w:rFonts w:cs="Arial"/>
                <w:b/>
                <w:bCs w:val="0"/>
                <w:sz w:val="20"/>
                <w:szCs w:val="20"/>
              </w:rPr>
            </w:pPr>
          </w:p>
          <w:p w:rsidR="00D31030" w:rsidRPr="003F6BE2" w:rsidRDefault="004619B7" w:rsidP="007D0835">
            <w:pPr>
              <w:autoSpaceDE w:val="0"/>
              <w:autoSpaceDN w:val="0"/>
              <w:adjustRightInd w:val="0"/>
              <w:rPr>
                <w:rFonts w:cs="Arial"/>
                <w:sz w:val="20"/>
                <w:szCs w:val="20"/>
              </w:rPr>
            </w:pPr>
            <w:r>
              <w:rPr>
                <w:rFonts w:cs="Arial"/>
                <w:sz w:val="20"/>
                <w:szCs w:val="20"/>
              </w:rPr>
              <w:t>All GPs and registered nurses</w:t>
            </w:r>
            <w:r w:rsidR="00D31030" w:rsidRPr="003F6BE2">
              <w:rPr>
                <w:rFonts w:cs="Arial"/>
                <w:sz w:val="20"/>
                <w:szCs w:val="20"/>
              </w:rPr>
              <w:t xml:space="preserve"> delivering this service </w:t>
            </w:r>
            <w:r w:rsidR="00D31030">
              <w:rPr>
                <w:rFonts w:cs="Arial"/>
                <w:sz w:val="20"/>
                <w:szCs w:val="20"/>
              </w:rPr>
              <w:t>shall</w:t>
            </w:r>
            <w:r w:rsidR="00D31030" w:rsidRPr="003F6BE2">
              <w:rPr>
                <w:rFonts w:cs="Arial"/>
                <w:sz w:val="20"/>
                <w:szCs w:val="20"/>
              </w:rPr>
              <w:t xml:space="preserve"> be required, upon request, to provide </w:t>
            </w:r>
            <w:r w:rsidR="00B40783">
              <w:rPr>
                <w:rFonts w:cs="Arial"/>
                <w:sz w:val="20"/>
                <w:szCs w:val="20"/>
              </w:rPr>
              <w:t xml:space="preserve">Telford &amp; Wrekin </w:t>
            </w:r>
            <w:r w:rsidR="00D31030" w:rsidRPr="003F6BE2">
              <w:rPr>
                <w:rFonts w:cs="Arial"/>
                <w:sz w:val="20"/>
                <w:szCs w:val="20"/>
              </w:rPr>
              <w:t>CCG with evidence that they have an up to date Letter of Competence (LoC) from the Faculty of Sexual and Reproductive Healthcare (FSRH). Completion of the Faculty’s e-modules is also strongly recommended.</w:t>
            </w:r>
          </w:p>
          <w:p w:rsidR="00D31030" w:rsidRPr="003F6BE2" w:rsidRDefault="00D31030" w:rsidP="007D0835">
            <w:pPr>
              <w:autoSpaceDE w:val="0"/>
              <w:autoSpaceDN w:val="0"/>
              <w:adjustRightInd w:val="0"/>
              <w:rPr>
                <w:rFonts w:cs="Arial"/>
                <w:sz w:val="20"/>
                <w:szCs w:val="20"/>
              </w:rPr>
            </w:pPr>
          </w:p>
          <w:p w:rsidR="00D31030" w:rsidRPr="003F6BE2" w:rsidRDefault="00D31030" w:rsidP="007D0835">
            <w:pPr>
              <w:autoSpaceDE w:val="0"/>
              <w:autoSpaceDN w:val="0"/>
              <w:adjustRightInd w:val="0"/>
              <w:rPr>
                <w:rFonts w:cs="Arial"/>
                <w:sz w:val="20"/>
                <w:szCs w:val="20"/>
              </w:rPr>
            </w:pPr>
            <w:r w:rsidRPr="003F6BE2">
              <w:rPr>
                <w:rFonts w:cs="Arial"/>
                <w:sz w:val="20"/>
                <w:szCs w:val="20"/>
              </w:rPr>
              <w:t xml:space="preserve">If any GPs in the practice are not in possession of a valid LoC, they </w:t>
            </w:r>
            <w:r>
              <w:rPr>
                <w:rFonts w:cs="Arial"/>
                <w:sz w:val="20"/>
                <w:szCs w:val="20"/>
              </w:rPr>
              <w:t>shall</w:t>
            </w:r>
            <w:r w:rsidRPr="003F6BE2">
              <w:rPr>
                <w:rFonts w:cs="Arial"/>
                <w:sz w:val="20"/>
                <w:szCs w:val="20"/>
              </w:rPr>
              <w:t xml:space="preserve"> not</w:t>
            </w:r>
            <w:r w:rsidR="00D829AE">
              <w:rPr>
                <w:rFonts w:cs="Arial"/>
                <w:sz w:val="20"/>
                <w:szCs w:val="20"/>
              </w:rPr>
              <w:t xml:space="preserve"> </w:t>
            </w:r>
            <w:r w:rsidRPr="003F6BE2">
              <w:rPr>
                <w:rFonts w:cs="Arial"/>
                <w:sz w:val="20"/>
                <w:szCs w:val="20"/>
              </w:rPr>
              <w:t xml:space="preserve">be able to perform the procedure. For those where the LoC is set to expire during the contract period, evidence of a valid replacement </w:t>
            </w:r>
            <w:r>
              <w:rPr>
                <w:rFonts w:cs="Arial"/>
                <w:sz w:val="20"/>
                <w:szCs w:val="20"/>
              </w:rPr>
              <w:t>shall</w:t>
            </w:r>
            <w:r w:rsidRPr="003F6BE2">
              <w:rPr>
                <w:rFonts w:cs="Arial"/>
                <w:sz w:val="20"/>
                <w:szCs w:val="20"/>
              </w:rPr>
              <w:t xml:space="preserve"> be required for service delivery to continue beyond the expiry date.</w:t>
            </w:r>
          </w:p>
          <w:p w:rsidR="00D31030" w:rsidRPr="003F6BE2" w:rsidRDefault="00D31030" w:rsidP="007D0835">
            <w:pPr>
              <w:autoSpaceDE w:val="0"/>
              <w:autoSpaceDN w:val="0"/>
              <w:adjustRightInd w:val="0"/>
              <w:rPr>
                <w:rFonts w:cs="Arial"/>
                <w:sz w:val="20"/>
                <w:szCs w:val="20"/>
              </w:rPr>
            </w:pPr>
          </w:p>
          <w:p w:rsidR="00D31030" w:rsidRPr="003F6BE2" w:rsidRDefault="00D31030" w:rsidP="007D0835">
            <w:pPr>
              <w:autoSpaceDE w:val="0"/>
              <w:autoSpaceDN w:val="0"/>
              <w:adjustRightInd w:val="0"/>
              <w:rPr>
                <w:rFonts w:cs="Arial"/>
                <w:sz w:val="20"/>
                <w:szCs w:val="20"/>
              </w:rPr>
            </w:pPr>
            <w:r w:rsidRPr="003F6BE2">
              <w:rPr>
                <w:rFonts w:cs="Arial"/>
                <w:sz w:val="20"/>
                <w:szCs w:val="20"/>
              </w:rPr>
              <w:t>Current requirements set down by the Faculty of Sexual and Reproductive</w:t>
            </w:r>
            <w:r w:rsidR="00D829AE">
              <w:rPr>
                <w:rFonts w:cs="Arial"/>
                <w:sz w:val="20"/>
                <w:szCs w:val="20"/>
              </w:rPr>
              <w:t xml:space="preserve"> </w:t>
            </w:r>
            <w:r w:rsidRPr="003F6BE2">
              <w:rPr>
                <w:rFonts w:cs="Arial"/>
                <w:sz w:val="20"/>
                <w:szCs w:val="20"/>
              </w:rPr>
              <w:t xml:space="preserve">Health Care can be found at </w:t>
            </w:r>
            <w:hyperlink r:id="rId8" w:history="1">
              <w:r w:rsidRPr="003F6BE2">
                <w:rPr>
                  <w:rStyle w:val="Hyperlink"/>
                  <w:rFonts w:cs="Arial"/>
                  <w:sz w:val="20"/>
                  <w:szCs w:val="20"/>
                </w:rPr>
                <w:t>https://www.fsrh.org/standards-and-guidance/</w:t>
              </w:r>
            </w:hyperlink>
            <w:r w:rsidRPr="003F6BE2">
              <w:rPr>
                <w:rFonts w:cs="Arial"/>
                <w:sz w:val="20"/>
                <w:szCs w:val="20"/>
              </w:rPr>
              <w:t xml:space="preserve">.  </w:t>
            </w:r>
          </w:p>
          <w:p w:rsidR="00D31030" w:rsidRPr="003F6BE2" w:rsidRDefault="00D31030" w:rsidP="007D0835">
            <w:pPr>
              <w:autoSpaceDE w:val="0"/>
              <w:autoSpaceDN w:val="0"/>
              <w:adjustRightInd w:val="0"/>
              <w:rPr>
                <w:rFonts w:cs="Arial"/>
                <w:sz w:val="20"/>
                <w:szCs w:val="20"/>
              </w:rPr>
            </w:pPr>
            <w:r w:rsidRPr="003F6BE2">
              <w:rPr>
                <w:rFonts w:cs="Arial"/>
                <w:sz w:val="20"/>
                <w:szCs w:val="20"/>
              </w:rPr>
              <w:t xml:space="preserve"> </w:t>
            </w:r>
          </w:p>
          <w:p w:rsidR="00D31030" w:rsidRPr="003F6BE2" w:rsidRDefault="00D31030" w:rsidP="007D0835">
            <w:pPr>
              <w:autoSpaceDE w:val="0"/>
              <w:autoSpaceDN w:val="0"/>
              <w:adjustRightInd w:val="0"/>
              <w:rPr>
                <w:rFonts w:cs="Arial"/>
                <w:sz w:val="20"/>
                <w:szCs w:val="20"/>
              </w:rPr>
            </w:pPr>
            <w:r w:rsidRPr="003F6BE2">
              <w:rPr>
                <w:rFonts w:cs="Arial"/>
                <w:sz w:val="20"/>
                <w:szCs w:val="20"/>
              </w:rPr>
              <w:t>As with any clinical intervention, it is important that practitioners carry out sufficient volume of activity, as recommended by FSRH, to ensure they are appropriately skilled to provide high quality care and meet appropriate standards.</w:t>
            </w:r>
          </w:p>
          <w:p w:rsidR="00D31030" w:rsidRPr="003F6BE2" w:rsidRDefault="00D31030" w:rsidP="007D0835">
            <w:pPr>
              <w:autoSpaceDE w:val="0"/>
              <w:autoSpaceDN w:val="0"/>
              <w:adjustRightInd w:val="0"/>
              <w:rPr>
                <w:rFonts w:cs="Arial"/>
                <w:sz w:val="20"/>
                <w:szCs w:val="20"/>
              </w:rPr>
            </w:pPr>
          </w:p>
          <w:p w:rsidR="00D31030" w:rsidRPr="003F6BE2" w:rsidRDefault="00D31030" w:rsidP="007D0835">
            <w:pPr>
              <w:autoSpaceDE w:val="0"/>
              <w:autoSpaceDN w:val="0"/>
              <w:adjustRightInd w:val="0"/>
              <w:rPr>
                <w:rFonts w:cs="Arial"/>
                <w:b/>
                <w:bCs w:val="0"/>
                <w:sz w:val="20"/>
                <w:szCs w:val="20"/>
              </w:rPr>
            </w:pPr>
            <w:r w:rsidRPr="003F6BE2">
              <w:rPr>
                <w:rFonts w:cs="Arial"/>
                <w:b/>
                <w:sz w:val="20"/>
                <w:szCs w:val="20"/>
              </w:rPr>
              <w:t>Clinical Governance</w:t>
            </w:r>
          </w:p>
          <w:p w:rsidR="00D31030" w:rsidRPr="003F6BE2" w:rsidRDefault="00D31030" w:rsidP="007D0835">
            <w:pPr>
              <w:autoSpaceDE w:val="0"/>
              <w:autoSpaceDN w:val="0"/>
              <w:adjustRightInd w:val="0"/>
              <w:rPr>
                <w:rFonts w:cs="Arial"/>
                <w:b/>
                <w:bCs w:val="0"/>
                <w:sz w:val="20"/>
                <w:szCs w:val="20"/>
              </w:rPr>
            </w:pPr>
          </w:p>
          <w:p w:rsidR="00D31030" w:rsidRPr="003F6BE2" w:rsidRDefault="00D31030" w:rsidP="007D0835">
            <w:pPr>
              <w:autoSpaceDE w:val="0"/>
              <w:autoSpaceDN w:val="0"/>
              <w:adjustRightInd w:val="0"/>
              <w:rPr>
                <w:rFonts w:cs="Arial"/>
                <w:sz w:val="20"/>
                <w:szCs w:val="20"/>
              </w:rPr>
            </w:pPr>
            <w:r>
              <w:rPr>
                <w:rFonts w:cs="Arial"/>
                <w:sz w:val="20"/>
                <w:szCs w:val="20"/>
              </w:rPr>
              <w:t>The service provider shall</w:t>
            </w:r>
            <w:r w:rsidRPr="003F6BE2">
              <w:rPr>
                <w:rFonts w:cs="Arial"/>
                <w:sz w:val="20"/>
                <w:szCs w:val="20"/>
              </w:rPr>
              <w:t xml:space="preserve"> be responsible for their own system of clinical governance. This </w:t>
            </w:r>
            <w:r>
              <w:rPr>
                <w:rFonts w:cs="Arial"/>
                <w:sz w:val="20"/>
                <w:szCs w:val="20"/>
              </w:rPr>
              <w:t>shall</w:t>
            </w:r>
            <w:r w:rsidRPr="003F6BE2">
              <w:rPr>
                <w:rFonts w:cs="Arial"/>
                <w:sz w:val="20"/>
                <w:szCs w:val="20"/>
              </w:rPr>
              <w:t xml:space="preserve"> include but not be limited to the following:</w:t>
            </w:r>
          </w:p>
          <w:p w:rsidR="00D31030" w:rsidRPr="003F6BE2" w:rsidRDefault="00D31030" w:rsidP="007D0835">
            <w:pPr>
              <w:autoSpaceDE w:val="0"/>
              <w:autoSpaceDN w:val="0"/>
              <w:adjustRightInd w:val="0"/>
              <w:rPr>
                <w:rFonts w:cs="Arial"/>
                <w:sz w:val="20"/>
                <w:szCs w:val="20"/>
              </w:rPr>
            </w:pPr>
          </w:p>
          <w:p w:rsidR="00D31030" w:rsidRPr="003F6BE2" w:rsidRDefault="00D31030" w:rsidP="00D31030">
            <w:pPr>
              <w:pStyle w:val="ListParagraph"/>
              <w:numPr>
                <w:ilvl w:val="0"/>
                <w:numId w:val="6"/>
              </w:numPr>
              <w:autoSpaceDE w:val="0"/>
              <w:autoSpaceDN w:val="0"/>
              <w:adjustRightInd w:val="0"/>
              <w:rPr>
                <w:rFonts w:cs="Arial"/>
                <w:sz w:val="20"/>
                <w:szCs w:val="20"/>
              </w:rPr>
            </w:pPr>
            <w:r w:rsidRPr="003F6BE2">
              <w:rPr>
                <w:rFonts w:cs="Arial"/>
                <w:sz w:val="20"/>
                <w:szCs w:val="20"/>
              </w:rPr>
              <w:t>An appointed Clinical Governance Lead;</w:t>
            </w:r>
          </w:p>
          <w:p w:rsidR="00D31030" w:rsidRPr="003F6BE2" w:rsidRDefault="00D31030" w:rsidP="00D31030">
            <w:pPr>
              <w:pStyle w:val="ListParagraph"/>
              <w:numPr>
                <w:ilvl w:val="0"/>
                <w:numId w:val="6"/>
              </w:numPr>
              <w:autoSpaceDE w:val="0"/>
              <w:autoSpaceDN w:val="0"/>
              <w:adjustRightInd w:val="0"/>
              <w:rPr>
                <w:rFonts w:cs="Arial"/>
                <w:sz w:val="20"/>
                <w:szCs w:val="20"/>
              </w:rPr>
            </w:pPr>
            <w:r w:rsidRPr="003F6BE2">
              <w:rPr>
                <w:rFonts w:cs="Arial"/>
                <w:sz w:val="20"/>
                <w:szCs w:val="20"/>
              </w:rPr>
              <w:t>Development and implementation of Clinical Governance policies;</w:t>
            </w:r>
          </w:p>
          <w:p w:rsidR="00D31030" w:rsidRPr="00CF614C" w:rsidRDefault="00D31030" w:rsidP="00D31030">
            <w:pPr>
              <w:pStyle w:val="ListParagraph"/>
              <w:numPr>
                <w:ilvl w:val="0"/>
                <w:numId w:val="6"/>
              </w:numPr>
              <w:autoSpaceDE w:val="0"/>
              <w:autoSpaceDN w:val="0"/>
              <w:adjustRightInd w:val="0"/>
              <w:rPr>
                <w:rFonts w:cs="Arial"/>
                <w:sz w:val="20"/>
                <w:szCs w:val="20"/>
              </w:rPr>
            </w:pPr>
            <w:r w:rsidRPr="00CF614C">
              <w:rPr>
                <w:rFonts w:cs="Arial"/>
                <w:sz w:val="20"/>
                <w:szCs w:val="20"/>
              </w:rPr>
              <w:t>Adherence to the Serious Untoward Incident reporting and investigation process;</w:t>
            </w:r>
          </w:p>
          <w:p w:rsidR="00D31030" w:rsidRPr="003F6BE2" w:rsidRDefault="00D31030" w:rsidP="00D31030">
            <w:pPr>
              <w:pStyle w:val="ListParagraph"/>
              <w:numPr>
                <w:ilvl w:val="0"/>
                <w:numId w:val="6"/>
              </w:numPr>
              <w:autoSpaceDE w:val="0"/>
              <w:autoSpaceDN w:val="0"/>
              <w:adjustRightInd w:val="0"/>
              <w:rPr>
                <w:rFonts w:cs="Arial"/>
                <w:sz w:val="20"/>
                <w:szCs w:val="20"/>
              </w:rPr>
            </w:pPr>
            <w:r w:rsidRPr="00CF614C">
              <w:rPr>
                <w:rFonts w:cs="Arial"/>
                <w:sz w:val="20"/>
                <w:szCs w:val="20"/>
              </w:rPr>
              <w:t>Compliance</w:t>
            </w:r>
            <w:r w:rsidRPr="003F6BE2">
              <w:rPr>
                <w:rFonts w:cs="Arial"/>
                <w:sz w:val="20"/>
                <w:szCs w:val="20"/>
              </w:rPr>
              <w:t xml:space="preserve"> with Infection Control policies.</w:t>
            </w:r>
          </w:p>
          <w:p w:rsidR="00D31030" w:rsidRPr="003F6BE2" w:rsidRDefault="00D31030" w:rsidP="007D0835">
            <w:pPr>
              <w:autoSpaceDE w:val="0"/>
              <w:autoSpaceDN w:val="0"/>
              <w:adjustRightInd w:val="0"/>
              <w:rPr>
                <w:rFonts w:cs="Arial"/>
                <w:sz w:val="20"/>
                <w:szCs w:val="20"/>
              </w:rPr>
            </w:pPr>
          </w:p>
          <w:p w:rsidR="00F70E59" w:rsidRPr="00F70E59" w:rsidRDefault="00D31030" w:rsidP="00F70E59">
            <w:pPr>
              <w:autoSpaceDE w:val="0"/>
              <w:autoSpaceDN w:val="0"/>
              <w:adjustRightInd w:val="0"/>
              <w:rPr>
                <w:rFonts w:cs="Arial"/>
                <w:sz w:val="20"/>
                <w:szCs w:val="20"/>
                <w:lang w:val="en-US"/>
              </w:rPr>
            </w:pPr>
            <w:r w:rsidRPr="003F6BE2">
              <w:rPr>
                <w:rFonts w:cs="Arial"/>
                <w:sz w:val="20"/>
                <w:szCs w:val="20"/>
              </w:rPr>
              <w:t>The service provider</w:t>
            </w:r>
            <w:r>
              <w:rPr>
                <w:rFonts w:cs="Arial"/>
                <w:sz w:val="20"/>
                <w:szCs w:val="20"/>
              </w:rPr>
              <w:t xml:space="preserve"> shall</w:t>
            </w:r>
            <w:r w:rsidRPr="003F6BE2">
              <w:rPr>
                <w:rFonts w:cs="Arial"/>
                <w:sz w:val="20"/>
                <w:szCs w:val="20"/>
              </w:rPr>
              <w:t xml:space="preserve"> have secure IT systems in place which enable the capturing of patient information and activity reporting. They </w:t>
            </w:r>
            <w:r>
              <w:rPr>
                <w:rFonts w:cs="Arial"/>
                <w:sz w:val="20"/>
                <w:szCs w:val="20"/>
              </w:rPr>
              <w:t xml:space="preserve">shall </w:t>
            </w:r>
            <w:r w:rsidRPr="003F6BE2">
              <w:rPr>
                <w:rFonts w:cs="Arial"/>
                <w:sz w:val="20"/>
                <w:szCs w:val="20"/>
              </w:rPr>
              <w:t xml:space="preserve">ensure that all information relating to </w:t>
            </w:r>
            <w:r w:rsidRPr="003F6BE2">
              <w:rPr>
                <w:rFonts w:cs="Arial"/>
                <w:sz w:val="20"/>
                <w:szCs w:val="20"/>
              </w:rPr>
              <w:lastRenderedPageBreak/>
              <w:t xml:space="preserve">patients is safeguarded and complies with the </w:t>
            </w:r>
            <w:r w:rsidR="00F70E59" w:rsidRPr="00F70E59">
              <w:rPr>
                <w:rFonts w:cs="Arial"/>
                <w:sz w:val="20"/>
                <w:szCs w:val="20"/>
                <w:lang w:val="en-US"/>
              </w:rPr>
              <w:t xml:space="preserve">General Data Protection Regulations (GDPR) (2018), the Access to Health Records Act (1990), the Freedom of Information Act (2000) and the </w:t>
            </w:r>
            <w:proofErr w:type="spellStart"/>
            <w:r w:rsidR="00F70E59" w:rsidRPr="00F70E59">
              <w:rPr>
                <w:rFonts w:cs="Arial"/>
                <w:sz w:val="20"/>
                <w:szCs w:val="20"/>
                <w:lang w:val="en-US"/>
              </w:rPr>
              <w:t>Caldicott</w:t>
            </w:r>
            <w:proofErr w:type="spellEnd"/>
            <w:r w:rsidR="00F70E59" w:rsidRPr="00F70E59">
              <w:rPr>
                <w:rFonts w:cs="Arial"/>
                <w:sz w:val="20"/>
                <w:szCs w:val="20"/>
                <w:lang w:val="en-US"/>
              </w:rPr>
              <w:t xml:space="preserve"> Principles. </w:t>
            </w:r>
          </w:p>
          <w:p w:rsidR="00D31030" w:rsidRPr="003F6BE2" w:rsidRDefault="00D31030" w:rsidP="007D0835">
            <w:pPr>
              <w:rPr>
                <w:rFonts w:cs="Arial"/>
                <w:sz w:val="20"/>
                <w:szCs w:val="20"/>
              </w:rPr>
            </w:pPr>
          </w:p>
          <w:p w:rsidR="00D31030" w:rsidRPr="003F6BE2" w:rsidRDefault="00D31030" w:rsidP="007D0835">
            <w:pPr>
              <w:autoSpaceDE w:val="0"/>
              <w:autoSpaceDN w:val="0"/>
              <w:adjustRightInd w:val="0"/>
              <w:rPr>
                <w:rFonts w:cs="Arial"/>
                <w:b/>
                <w:bCs w:val="0"/>
                <w:sz w:val="20"/>
                <w:szCs w:val="20"/>
              </w:rPr>
            </w:pPr>
            <w:r w:rsidRPr="003F6BE2">
              <w:rPr>
                <w:rFonts w:cs="Arial"/>
                <w:b/>
                <w:sz w:val="20"/>
                <w:szCs w:val="20"/>
              </w:rPr>
              <w:t>Activity and Audits</w:t>
            </w:r>
          </w:p>
          <w:p w:rsidR="00D31030" w:rsidRPr="003F6BE2" w:rsidRDefault="00D31030" w:rsidP="007D0835">
            <w:pPr>
              <w:autoSpaceDE w:val="0"/>
              <w:autoSpaceDN w:val="0"/>
              <w:adjustRightInd w:val="0"/>
              <w:rPr>
                <w:rFonts w:cs="Arial"/>
                <w:b/>
                <w:bCs w:val="0"/>
                <w:sz w:val="20"/>
                <w:szCs w:val="20"/>
              </w:rPr>
            </w:pPr>
          </w:p>
          <w:p w:rsidR="00D31030" w:rsidRPr="003F6BE2" w:rsidRDefault="00D31030" w:rsidP="007D0835">
            <w:pPr>
              <w:autoSpaceDE w:val="0"/>
              <w:autoSpaceDN w:val="0"/>
              <w:adjustRightInd w:val="0"/>
              <w:rPr>
                <w:rFonts w:cs="Arial"/>
                <w:sz w:val="20"/>
                <w:szCs w:val="20"/>
              </w:rPr>
            </w:pPr>
            <w:r w:rsidRPr="003F6BE2">
              <w:rPr>
                <w:rFonts w:cs="Arial"/>
                <w:sz w:val="20"/>
                <w:szCs w:val="20"/>
              </w:rPr>
              <w:t xml:space="preserve">Adequate recording </w:t>
            </w:r>
            <w:r>
              <w:rPr>
                <w:rFonts w:cs="Arial"/>
                <w:sz w:val="20"/>
                <w:szCs w:val="20"/>
              </w:rPr>
              <w:t>shall</w:t>
            </w:r>
            <w:r w:rsidRPr="003F6BE2">
              <w:rPr>
                <w:rFonts w:cs="Arial"/>
                <w:sz w:val="20"/>
                <w:szCs w:val="20"/>
              </w:rPr>
              <w:t xml:space="preserve"> be made regarding the patient’s clinical history, the counselling process, including documentation of verbal or written informed consent having been obtained, any problems with insertion, the type, batch number and expiry date of the device and follow-up arrangements. Any follow up consultations </w:t>
            </w:r>
            <w:r>
              <w:rPr>
                <w:rFonts w:cs="Arial"/>
                <w:sz w:val="20"/>
                <w:szCs w:val="20"/>
              </w:rPr>
              <w:t>shall</w:t>
            </w:r>
            <w:r w:rsidRPr="003F6BE2">
              <w:rPr>
                <w:rFonts w:cs="Arial"/>
                <w:sz w:val="20"/>
                <w:szCs w:val="20"/>
              </w:rPr>
              <w:t xml:space="preserve"> be documented.</w:t>
            </w:r>
          </w:p>
          <w:p w:rsidR="00D31030" w:rsidRPr="003F6BE2" w:rsidRDefault="00D31030" w:rsidP="007D0835">
            <w:pPr>
              <w:autoSpaceDE w:val="0"/>
              <w:autoSpaceDN w:val="0"/>
              <w:adjustRightInd w:val="0"/>
              <w:rPr>
                <w:rFonts w:cs="Arial"/>
                <w:sz w:val="20"/>
                <w:szCs w:val="20"/>
              </w:rPr>
            </w:pPr>
          </w:p>
          <w:p w:rsidR="00D31030" w:rsidRPr="003F6BE2" w:rsidRDefault="00D31030" w:rsidP="007D0835">
            <w:pPr>
              <w:autoSpaceDE w:val="0"/>
              <w:autoSpaceDN w:val="0"/>
              <w:adjustRightInd w:val="0"/>
              <w:rPr>
                <w:rFonts w:cs="Arial"/>
                <w:sz w:val="20"/>
                <w:szCs w:val="20"/>
              </w:rPr>
            </w:pPr>
            <w:r w:rsidRPr="003F6BE2">
              <w:rPr>
                <w:rFonts w:cs="Arial"/>
                <w:sz w:val="20"/>
                <w:szCs w:val="20"/>
              </w:rPr>
              <w:t xml:space="preserve">It is a requirement of this service that the contractor supplies NHS </w:t>
            </w:r>
            <w:r w:rsidR="00FC00AE">
              <w:rPr>
                <w:rFonts w:cs="Arial"/>
                <w:sz w:val="20"/>
                <w:szCs w:val="20"/>
              </w:rPr>
              <w:t xml:space="preserve">Telford &amp; Wrekin </w:t>
            </w:r>
            <w:r w:rsidRPr="003F6BE2">
              <w:rPr>
                <w:rFonts w:cs="Arial"/>
                <w:sz w:val="20"/>
                <w:szCs w:val="20"/>
              </w:rPr>
              <w:t>CCG with such information as it may reasonably request for the purposes of monitoring the contractors’ performance, obligations and outcomes.</w:t>
            </w:r>
          </w:p>
          <w:p w:rsidR="00D31030" w:rsidRPr="003F6BE2" w:rsidRDefault="00D31030" w:rsidP="007D0835">
            <w:pPr>
              <w:autoSpaceDE w:val="0"/>
              <w:autoSpaceDN w:val="0"/>
              <w:adjustRightInd w:val="0"/>
              <w:rPr>
                <w:rFonts w:cs="Arial"/>
                <w:sz w:val="20"/>
                <w:szCs w:val="20"/>
              </w:rPr>
            </w:pPr>
          </w:p>
          <w:p w:rsidR="00D31030" w:rsidRPr="003F6BE2" w:rsidRDefault="00D31030" w:rsidP="007D0835">
            <w:pPr>
              <w:autoSpaceDE w:val="0"/>
              <w:autoSpaceDN w:val="0"/>
              <w:adjustRightInd w:val="0"/>
              <w:rPr>
                <w:rFonts w:cs="Arial"/>
                <w:sz w:val="20"/>
                <w:szCs w:val="20"/>
              </w:rPr>
            </w:pPr>
            <w:r w:rsidRPr="003F6BE2">
              <w:rPr>
                <w:rFonts w:cs="Arial"/>
                <w:sz w:val="20"/>
                <w:szCs w:val="20"/>
              </w:rPr>
              <w:t xml:space="preserve">Full records of all procedures </w:t>
            </w:r>
            <w:r>
              <w:rPr>
                <w:rFonts w:cs="Arial"/>
                <w:sz w:val="20"/>
                <w:szCs w:val="20"/>
              </w:rPr>
              <w:t>shall</w:t>
            </w:r>
            <w:r w:rsidRPr="003F6BE2">
              <w:rPr>
                <w:rFonts w:cs="Arial"/>
                <w:sz w:val="20"/>
                <w:szCs w:val="20"/>
              </w:rPr>
              <w:t xml:space="preserve"> be maintained in such a way that aggregated data and details of individual patients are readily accessible. All contractors have a medico-legal responsibility for maintaining complete and accurate patient records. Contractors must ensure that the detail of the patient’s procedure is included in the patient’s lifelong record. </w:t>
            </w:r>
          </w:p>
          <w:p w:rsidR="00D31030" w:rsidRPr="003F6BE2" w:rsidRDefault="00D31030" w:rsidP="007D0835">
            <w:pPr>
              <w:autoSpaceDE w:val="0"/>
              <w:autoSpaceDN w:val="0"/>
              <w:adjustRightInd w:val="0"/>
              <w:rPr>
                <w:rFonts w:cs="Arial"/>
                <w:sz w:val="20"/>
                <w:szCs w:val="20"/>
              </w:rPr>
            </w:pPr>
          </w:p>
          <w:p w:rsidR="00D31030" w:rsidRPr="003F6BE2" w:rsidRDefault="00D31030" w:rsidP="007D0835">
            <w:pPr>
              <w:autoSpaceDE w:val="0"/>
              <w:autoSpaceDN w:val="0"/>
              <w:adjustRightInd w:val="0"/>
              <w:rPr>
                <w:rFonts w:cs="Arial"/>
                <w:sz w:val="20"/>
                <w:szCs w:val="20"/>
              </w:rPr>
            </w:pPr>
            <w:r w:rsidRPr="003F6BE2">
              <w:rPr>
                <w:rFonts w:cs="Arial"/>
                <w:sz w:val="20"/>
                <w:szCs w:val="20"/>
              </w:rPr>
              <w:t xml:space="preserve">An annual audit of the register of patients fitted with an IUS for the treatment of menorrhagia or </w:t>
            </w:r>
            <w:r w:rsidRPr="003F6BE2">
              <w:rPr>
                <w:rFonts w:cs="Arial"/>
                <w:color w:val="000000"/>
                <w:sz w:val="20"/>
                <w:szCs w:val="20"/>
                <w:lang w:val="en" w:eastAsia="en-GB"/>
              </w:rPr>
              <w:t xml:space="preserve">protection from endometrial hyperplasia during </w:t>
            </w:r>
            <w:proofErr w:type="spellStart"/>
            <w:r w:rsidRPr="003F6BE2">
              <w:rPr>
                <w:rFonts w:cs="Arial"/>
                <w:color w:val="000000"/>
                <w:sz w:val="20"/>
                <w:szCs w:val="20"/>
                <w:lang w:val="en" w:eastAsia="en-GB"/>
              </w:rPr>
              <w:t>oestrogen</w:t>
            </w:r>
            <w:proofErr w:type="spellEnd"/>
            <w:r w:rsidRPr="003F6BE2">
              <w:rPr>
                <w:rFonts w:cs="Arial"/>
                <w:color w:val="000000"/>
                <w:sz w:val="20"/>
                <w:szCs w:val="20"/>
                <w:lang w:val="en" w:eastAsia="en-GB"/>
              </w:rPr>
              <w:t xml:space="preserve"> replacement therapy</w:t>
            </w:r>
            <w:r w:rsidRPr="003F6BE2">
              <w:rPr>
                <w:rFonts w:cs="Arial"/>
                <w:sz w:val="20"/>
                <w:szCs w:val="20"/>
              </w:rPr>
              <w:t xml:space="preserve"> including: type of device, reasons for removal; complications or s</w:t>
            </w:r>
            <w:r>
              <w:rPr>
                <w:rFonts w:cs="Arial"/>
                <w:sz w:val="20"/>
                <w:szCs w:val="20"/>
              </w:rPr>
              <w:t>ignificant events shall</w:t>
            </w:r>
            <w:r w:rsidRPr="003F6BE2">
              <w:rPr>
                <w:rFonts w:cs="Arial"/>
                <w:sz w:val="20"/>
                <w:szCs w:val="20"/>
              </w:rPr>
              <w:t xml:space="preserve"> be undertaken and sent to </w:t>
            </w:r>
            <w:r w:rsidR="00FC00AE">
              <w:rPr>
                <w:rFonts w:cs="Arial"/>
                <w:sz w:val="20"/>
                <w:szCs w:val="20"/>
              </w:rPr>
              <w:t>Telford &amp; Wrekin</w:t>
            </w:r>
            <w:r w:rsidRPr="003F6BE2">
              <w:rPr>
                <w:rFonts w:cs="Arial"/>
                <w:sz w:val="20"/>
                <w:szCs w:val="20"/>
              </w:rPr>
              <w:t xml:space="preserve"> CCG Quality and Safety team when requested to do so.</w:t>
            </w:r>
          </w:p>
          <w:p w:rsidR="00D31030" w:rsidRPr="003F6BE2" w:rsidRDefault="00D31030" w:rsidP="007D0835">
            <w:pPr>
              <w:rPr>
                <w:rFonts w:cs="Arial"/>
                <w:sz w:val="20"/>
                <w:szCs w:val="20"/>
              </w:rPr>
            </w:pPr>
          </w:p>
          <w:p w:rsidR="00D31030" w:rsidRPr="000A427D" w:rsidRDefault="00D31030" w:rsidP="007D0835">
            <w:pPr>
              <w:autoSpaceDE w:val="0"/>
              <w:autoSpaceDN w:val="0"/>
              <w:adjustRightInd w:val="0"/>
              <w:rPr>
                <w:rFonts w:cs="Arial"/>
                <w:b/>
                <w:bCs w:val="0"/>
                <w:sz w:val="20"/>
                <w:szCs w:val="20"/>
              </w:rPr>
            </w:pPr>
            <w:r w:rsidRPr="000A427D">
              <w:rPr>
                <w:rFonts w:cs="Arial"/>
                <w:b/>
                <w:sz w:val="20"/>
                <w:szCs w:val="20"/>
              </w:rPr>
              <w:t>Key Performance Indicators</w:t>
            </w:r>
          </w:p>
          <w:p w:rsidR="00D31030" w:rsidRPr="000A427D" w:rsidRDefault="00D31030" w:rsidP="007D0835">
            <w:pPr>
              <w:autoSpaceDE w:val="0"/>
              <w:autoSpaceDN w:val="0"/>
              <w:adjustRightInd w:val="0"/>
              <w:rPr>
                <w:rFonts w:cs="Arial"/>
                <w:b/>
                <w:bCs w:val="0"/>
                <w:sz w:val="20"/>
                <w:szCs w:val="20"/>
              </w:rPr>
            </w:pPr>
          </w:p>
          <w:p w:rsidR="00D31030" w:rsidRPr="000A427D" w:rsidRDefault="00D31030" w:rsidP="007D0835">
            <w:pPr>
              <w:autoSpaceDE w:val="0"/>
              <w:autoSpaceDN w:val="0"/>
              <w:adjustRightInd w:val="0"/>
              <w:rPr>
                <w:rFonts w:cs="Arial"/>
                <w:bCs w:val="0"/>
                <w:sz w:val="20"/>
                <w:szCs w:val="20"/>
              </w:rPr>
            </w:pPr>
            <w:r w:rsidRPr="000A427D">
              <w:rPr>
                <w:rFonts w:cs="Arial"/>
                <w:bCs w:val="0"/>
                <w:sz w:val="20"/>
                <w:szCs w:val="20"/>
              </w:rPr>
              <w:t>Please refer to Schedule 4 Part C (Local Quality Requirements) and Schedule 6 Part A (Reporting Requirements):</w:t>
            </w:r>
          </w:p>
          <w:p w:rsidR="00D31030" w:rsidRPr="000A427D" w:rsidRDefault="00D31030" w:rsidP="007D0835">
            <w:pPr>
              <w:autoSpaceDE w:val="0"/>
              <w:autoSpaceDN w:val="0"/>
              <w:adjustRightInd w:val="0"/>
              <w:rPr>
                <w:rFonts w:cs="Arial"/>
                <w:b/>
                <w:bCs w:val="0"/>
                <w:sz w:val="20"/>
                <w:szCs w:val="20"/>
              </w:rPr>
            </w:pPr>
          </w:p>
          <w:p w:rsidR="00D31030" w:rsidRPr="000A427D" w:rsidRDefault="00D31030" w:rsidP="00D31030">
            <w:pPr>
              <w:pStyle w:val="ListParagraph"/>
              <w:numPr>
                <w:ilvl w:val="0"/>
                <w:numId w:val="7"/>
              </w:numPr>
              <w:autoSpaceDE w:val="0"/>
              <w:autoSpaceDN w:val="0"/>
              <w:adjustRightInd w:val="0"/>
              <w:rPr>
                <w:rFonts w:cs="Arial"/>
                <w:sz w:val="20"/>
                <w:szCs w:val="20"/>
              </w:rPr>
            </w:pPr>
            <w:r w:rsidRPr="000A427D">
              <w:rPr>
                <w:rFonts w:cs="Arial"/>
                <w:sz w:val="20"/>
                <w:szCs w:val="20"/>
              </w:rPr>
              <w:t>Number of patients seen</w:t>
            </w:r>
            <w:r w:rsidR="00F34B05" w:rsidRPr="000A427D">
              <w:rPr>
                <w:rFonts w:cs="Arial"/>
                <w:sz w:val="20"/>
                <w:szCs w:val="20"/>
              </w:rPr>
              <w:t xml:space="preserve"> </w:t>
            </w:r>
            <w:r w:rsidRPr="000A427D">
              <w:rPr>
                <w:rFonts w:cs="Arial"/>
                <w:sz w:val="20"/>
                <w:szCs w:val="20"/>
              </w:rPr>
              <w:t xml:space="preserve">shall be reported via the </w:t>
            </w:r>
            <w:r w:rsidR="001919D7" w:rsidRPr="000A427D">
              <w:rPr>
                <w:rFonts w:cs="Arial"/>
                <w:sz w:val="20"/>
                <w:szCs w:val="20"/>
              </w:rPr>
              <w:t xml:space="preserve">quarterly data extraction </w:t>
            </w:r>
            <w:r w:rsidR="00D829AE" w:rsidRPr="000A427D">
              <w:rPr>
                <w:rFonts w:cs="Arial"/>
                <w:sz w:val="20"/>
                <w:szCs w:val="20"/>
              </w:rPr>
              <w:t xml:space="preserve">made via EMIS, or by direct data </w:t>
            </w:r>
            <w:r w:rsidR="001919D7" w:rsidRPr="000A427D">
              <w:rPr>
                <w:rFonts w:cs="Arial"/>
                <w:sz w:val="20"/>
                <w:szCs w:val="20"/>
              </w:rPr>
              <w:t xml:space="preserve">extraction </w:t>
            </w:r>
            <w:r w:rsidR="00D829AE" w:rsidRPr="000A427D">
              <w:rPr>
                <w:rFonts w:cs="Arial"/>
                <w:sz w:val="20"/>
                <w:szCs w:val="20"/>
              </w:rPr>
              <w:t>from practices using other clinical systems.</w:t>
            </w:r>
          </w:p>
          <w:p w:rsidR="0006794F" w:rsidRPr="000A427D" w:rsidRDefault="0006794F" w:rsidP="00D31030">
            <w:pPr>
              <w:pStyle w:val="ListParagraph"/>
              <w:numPr>
                <w:ilvl w:val="0"/>
                <w:numId w:val="7"/>
              </w:numPr>
              <w:autoSpaceDE w:val="0"/>
              <w:autoSpaceDN w:val="0"/>
              <w:adjustRightInd w:val="0"/>
              <w:rPr>
                <w:rFonts w:cs="Arial"/>
                <w:sz w:val="20"/>
                <w:szCs w:val="20"/>
              </w:rPr>
            </w:pPr>
            <w:r w:rsidRPr="000A427D">
              <w:rPr>
                <w:rFonts w:cs="Arial"/>
                <w:sz w:val="20"/>
                <w:szCs w:val="20"/>
              </w:rPr>
              <w:t>Patients will be seen and have a coil fitted within 4 weeks</w:t>
            </w:r>
          </w:p>
          <w:p w:rsidR="00D31030" w:rsidRPr="000A427D" w:rsidRDefault="00D829AE" w:rsidP="00D31030">
            <w:pPr>
              <w:pStyle w:val="ListParagraph"/>
              <w:numPr>
                <w:ilvl w:val="0"/>
                <w:numId w:val="7"/>
              </w:numPr>
              <w:autoSpaceDE w:val="0"/>
              <w:autoSpaceDN w:val="0"/>
              <w:adjustRightInd w:val="0"/>
              <w:rPr>
                <w:rFonts w:cs="Arial"/>
                <w:sz w:val="20"/>
                <w:szCs w:val="20"/>
              </w:rPr>
            </w:pPr>
            <w:r w:rsidRPr="000A427D">
              <w:rPr>
                <w:rFonts w:cs="Arial"/>
                <w:sz w:val="20"/>
                <w:szCs w:val="20"/>
              </w:rPr>
              <w:t>Practices are asked to inform the CCG of any issues that are causing significant delays for patients</w:t>
            </w:r>
            <w:r w:rsidR="00D31030" w:rsidRPr="000A427D">
              <w:rPr>
                <w:rFonts w:cs="Arial"/>
                <w:sz w:val="20"/>
                <w:szCs w:val="20"/>
              </w:rPr>
              <w:t xml:space="preserve">. </w:t>
            </w:r>
          </w:p>
          <w:p w:rsidR="00D31030" w:rsidRPr="000A427D" w:rsidRDefault="00D31030" w:rsidP="00D31030">
            <w:pPr>
              <w:pStyle w:val="ListParagraph"/>
              <w:numPr>
                <w:ilvl w:val="0"/>
                <w:numId w:val="7"/>
              </w:numPr>
              <w:autoSpaceDE w:val="0"/>
              <w:autoSpaceDN w:val="0"/>
              <w:adjustRightInd w:val="0"/>
              <w:rPr>
                <w:rFonts w:cs="Arial"/>
                <w:sz w:val="20"/>
                <w:szCs w:val="20"/>
              </w:rPr>
            </w:pPr>
            <w:r w:rsidRPr="000A427D">
              <w:rPr>
                <w:rFonts w:cs="Arial"/>
                <w:sz w:val="20"/>
                <w:szCs w:val="20"/>
              </w:rPr>
              <w:t>All equipment used within this procedure shall meet the national standards for sterilisation and maintenance.</w:t>
            </w:r>
          </w:p>
          <w:p w:rsidR="00D31030" w:rsidRPr="000A427D" w:rsidRDefault="00D31030" w:rsidP="00D31030">
            <w:pPr>
              <w:pStyle w:val="ListParagraph"/>
              <w:numPr>
                <w:ilvl w:val="0"/>
                <w:numId w:val="7"/>
              </w:numPr>
              <w:autoSpaceDE w:val="0"/>
              <w:autoSpaceDN w:val="0"/>
              <w:adjustRightInd w:val="0"/>
              <w:rPr>
                <w:rFonts w:cs="Arial"/>
                <w:sz w:val="20"/>
                <w:szCs w:val="20"/>
              </w:rPr>
            </w:pPr>
            <w:r w:rsidRPr="000A427D">
              <w:rPr>
                <w:rFonts w:cs="Arial"/>
                <w:sz w:val="20"/>
                <w:szCs w:val="20"/>
              </w:rPr>
              <w:t>Numbers of significant events shall be reported quarterly. This shall be reported by the Quality Reporting Template.</w:t>
            </w:r>
          </w:p>
          <w:p w:rsidR="00D31030" w:rsidRPr="000A427D" w:rsidRDefault="00D31030" w:rsidP="00D31030">
            <w:pPr>
              <w:pStyle w:val="ListParagraph"/>
              <w:numPr>
                <w:ilvl w:val="0"/>
                <w:numId w:val="7"/>
              </w:numPr>
              <w:autoSpaceDE w:val="0"/>
              <w:autoSpaceDN w:val="0"/>
              <w:adjustRightInd w:val="0"/>
              <w:rPr>
                <w:rFonts w:cs="Arial"/>
                <w:sz w:val="20"/>
                <w:szCs w:val="20"/>
              </w:rPr>
            </w:pPr>
            <w:r w:rsidRPr="000A427D">
              <w:rPr>
                <w:rFonts w:cs="Arial"/>
                <w:sz w:val="20"/>
                <w:szCs w:val="20"/>
              </w:rPr>
              <w:t>Practices shall have a protocol in place detailing referral criteria, interventions and treatment pathway.</w:t>
            </w:r>
          </w:p>
          <w:p w:rsidR="00D31030" w:rsidRPr="000A427D" w:rsidRDefault="00D31030" w:rsidP="007D0835">
            <w:pPr>
              <w:autoSpaceDE w:val="0"/>
              <w:autoSpaceDN w:val="0"/>
              <w:adjustRightInd w:val="0"/>
              <w:rPr>
                <w:rFonts w:cs="Arial"/>
                <w:b/>
                <w:bCs w:val="0"/>
                <w:sz w:val="20"/>
                <w:szCs w:val="20"/>
              </w:rPr>
            </w:pPr>
          </w:p>
          <w:p w:rsidR="00D31030" w:rsidRPr="000A427D" w:rsidRDefault="00D31030" w:rsidP="007D0835">
            <w:pPr>
              <w:autoSpaceDE w:val="0"/>
              <w:autoSpaceDN w:val="0"/>
              <w:adjustRightInd w:val="0"/>
              <w:rPr>
                <w:rFonts w:cs="Arial"/>
                <w:b/>
                <w:bCs w:val="0"/>
                <w:sz w:val="20"/>
                <w:szCs w:val="20"/>
              </w:rPr>
            </w:pPr>
            <w:r w:rsidRPr="000A427D">
              <w:rPr>
                <w:rFonts w:cs="Arial"/>
                <w:b/>
                <w:sz w:val="20"/>
                <w:szCs w:val="20"/>
              </w:rPr>
              <w:t>Payment</w:t>
            </w:r>
          </w:p>
          <w:p w:rsidR="00D31030" w:rsidRPr="000A427D" w:rsidRDefault="00D31030" w:rsidP="007D0835">
            <w:pPr>
              <w:autoSpaceDE w:val="0"/>
              <w:autoSpaceDN w:val="0"/>
              <w:adjustRightInd w:val="0"/>
              <w:rPr>
                <w:rFonts w:cs="Arial"/>
                <w:b/>
                <w:bCs w:val="0"/>
                <w:sz w:val="20"/>
                <w:szCs w:val="20"/>
              </w:rPr>
            </w:pPr>
          </w:p>
          <w:p w:rsidR="00D31030" w:rsidRPr="000A427D" w:rsidRDefault="00D31030" w:rsidP="007D0835">
            <w:pPr>
              <w:autoSpaceDE w:val="0"/>
              <w:autoSpaceDN w:val="0"/>
              <w:adjustRightInd w:val="0"/>
              <w:rPr>
                <w:rFonts w:cs="Arial"/>
                <w:sz w:val="20"/>
                <w:szCs w:val="20"/>
              </w:rPr>
            </w:pPr>
            <w:r w:rsidRPr="000A427D">
              <w:rPr>
                <w:rFonts w:cs="Arial"/>
                <w:sz w:val="20"/>
                <w:szCs w:val="20"/>
              </w:rPr>
              <w:t>Payments shall be made quarterly in arrears and shall be calculated based on the activity included in the</w:t>
            </w:r>
            <w:r w:rsidR="001919D7" w:rsidRPr="000A427D">
              <w:rPr>
                <w:rFonts w:cs="Arial"/>
                <w:sz w:val="20"/>
                <w:szCs w:val="20"/>
              </w:rPr>
              <w:t xml:space="preserve"> quarterly d</w:t>
            </w:r>
            <w:r w:rsidRPr="000A427D">
              <w:rPr>
                <w:rFonts w:cs="Arial"/>
                <w:sz w:val="20"/>
                <w:szCs w:val="20"/>
              </w:rPr>
              <w:t xml:space="preserve">ata </w:t>
            </w:r>
            <w:r w:rsidR="001919D7" w:rsidRPr="000A427D">
              <w:rPr>
                <w:rFonts w:cs="Arial"/>
                <w:sz w:val="20"/>
                <w:szCs w:val="20"/>
              </w:rPr>
              <w:t xml:space="preserve">extraction </w:t>
            </w:r>
            <w:r w:rsidRPr="000A427D">
              <w:rPr>
                <w:rFonts w:cs="Arial"/>
                <w:sz w:val="20"/>
                <w:szCs w:val="20"/>
              </w:rPr>
              <w:t>supplied by the practice via EMIS</w:t>
            </w:r>
            <w:r w:rsidR="00D829AE" w:rsidRPr="000A427D">
              <w:rPr>
                <w:rFonts w:cs="Arial"/>
                <w:sz w:val="20"/>
                <w:szCs w:val="20"/>
              </w:rPr>
              <w:t>, or direct data submission from practice</w:t>
            </w:r>
            <w:r w:rsidR="006B068D" w:rsidRPr="000A427D">
              <w:rPr>
                <w:rFonts w:cs="Arial"/>
                <w:sz w:val="20"/>
                <w:szCs w:val="20"/>
              </w:rPr>
              <w:t>s</w:t>
            </w:r>
            <w:r w:rsidR="00D829AE" w:rsidRPr="000A427D">
              <w:rPr>
                <w:rFonts w:cs="Arial"/>
                <w:sz w:val="20"/>
                <w:szCs w:val="20"/>
              </w:rPr>
              <w:t xml:space="preserve"> using other </w:t>
            </w:r>
            <w:r w:rsidR="006B068D" w:rsidRPr="000A427D">
              <w:rPr>
                <w:rFonts w:cs="Arial"/>
                <w:sz w:val="20"/>
                <w:szCs w:val="20"/>
              </w:rPr>
              <w:t xml:space="preserve">clinical </w:t>
            </w:r>
            <w:r w:rsidR="00D829AE" w:rsidRPr="000A427D">
              <w:rPr>
                <w:rFonts w:cs="Arial"/>
                <w:sz w:val="20"/>
                <w:szCs w:val="20"/>
              </w:rPr>
              <w:t>systems,</w:t>
            </w:r>
            <w:r w:rsidRPr="000A427D">
              <w:rPr>
                <w:rFonts w:cs="Arial"/>
                <w:sz w:val="20"/>
                <w:szCs w:val="20"/>
              </w:rPr>
              <w:t xml:space="preserve"> to NHS </w:t>
            </w:r>
            <w:r w:rsidR="005E215B" w:rsidRPr="000A427D">
              <w:rPr>
                <w:rFonts w:cs="Arial"/>
                <w:sz w:val="20"/>
                <w:szCs w:val="20"/>
              </w:rPr>
              <w:t>Telford &amp; Wrekin</w:t>
            </w:r>
            <w:r w:rsidRPr="000A427D">
              <w:rPr>
                <w:rFonts w:cs="Arial"/>
                <w:sz w:val="20"/>
                <w:szCs w:val="20"/>
              </w:rPr>
              <w:t xml:space="preserve"> CCG.</w:t>
            </w:r>
          </w:p>
          <w:p w:rsidR="00F53824" w:rsidRPr="000A427D" w:rsidRDefault="00F53824" w:rsidP="007D0835">
            <w:pPr>
              <w:autoSpaceDE w:val="0"/>
              <w:autoSpaceDN w:val="0"/>
              <w:adjustRightInd w:val="0"/>
              <w:rPr>
                <w:rFonts w:cs="Arial"/>
                <w:sz w:val="20"/>
                <w:szCs w:val="20"/>
              </w:rPr>
            </w:pPr>
          </w:p>
          <w:p w:rsidR="00F53824" w:rsidRPr="000A427D" w:rsidRDefault="00F53824" w:rsidP="007D0835">
            <w:pPr>
              <w:autoSpaceDE w:val="0"/>
              <w:autoSpaceDN w:val="0"/>
              <w:adjustRightInd w:val="0"/>
              <w:rPr>
                <w:rFonts w:cs="Arial"/>
                <w:sz w:val="20"/>
                <w:szCs w:val="20"/>
              </w:rPr>
            </w:pPr>
            <w:r w:rsidRPr="000A427D">
              <w:rPr>
                <w:rFonts w:cs="Arial"/>
                <w:sz w:val="20"/>
                <w:szCs w:val="20"/>
              </w:rPr>
              <w:t>Payment will be made to GP practi</w:t>
            </w:r>
            <w:r w:rsidR="00F34B05" w:rsidRPr="000A427D">
              <w:rPr>
                <w:rFonts w:cs="Arial"/>
                <w:sz w:val="20"/>
                <w:szCs w:val="20"/>
              </w:rPr>
              <w:t>c</w:t>
            </w:r>
            <w:r w:rsidRPr="000A427D">
              <w:rPr>
                <w:rFonts w:cs="Arial"/>
                <w:sz w:val="20"/>
                <w:szCs w:val="20"/>
              </w:rPr>
              <w:t>es b</w:t>
            </w:r>
            <w:r w:rsidR="00F34B05" w:rsidRPr="000A427D">
              <w:rPr>
                <w:rFonts w:cs="Arial"/>
                <w:sz w:val="20"/>
                <w:szCs w:val="20"/>
              </w:rPr>
              <w:t>y</w:t>
            </w:r>
            <w:r w:rsidR="005B14D0">
              <w:rPr>
                <w:rFonts w:cs="Arial"/>
                <w:sz w:val="20"/>
                <w:szCs w:val="20"/>
              </w:rPr>
              <w:t xml:space="preserve"> using the following code: </w:t>
            </w:r>
            <w:r w:rsidRPr="000A427D">
              <w:rPr>
                <w:rFonts w:cs="Arial"/>
                <w:sz w:val="20"/>
                <w:szCs w:val="20"/>
              </w:rPr>
              <w:t xml:space="preserve"> </w:t>
            </w:r>
            <w:r w:rsidR="005B14D0" w:rsidRPr="005B14D0">
              <w:rPr>
                <w:rFonts w:cs="Arial"/>
                <w:sz w:val="20"/>
                <w:szCs w:val="20"/>
              </w:rPr>
              <w:t>1932271000006110</w:t>
            </w:r>
          </w:p>
          <w:p w:rsidR="005B14D0" w:rsidRDefault="005B14D0" w:rsidP="005B14D0">
            <w:pPr>
              <w:autoSpaceDE w:val="0"/>
              <w:autoSpaceDN w:val="0"/>
              <w:adjustRightInd w:val="0"/>
              <w:rPr>
                <w:rFonts w:cs="Arial"/>
                <w:sz w:val="20"/>
                <w:szCs w:val="20"/>
              </w:rPr>
            </w:pPr>
          </w:p>
          <w:p w:rsidR="005B14D0" w:rsidRPr="005B14D0" w:rsidRDefault="005B14D0" w:rsidP="005B14D0">
            <w:pPr>
              <w:autoSpaceDE w:val="0"/>
              <w:autoSpaceDN w:val="0"/>
              <w:adjustRightInd w:val="0"/>
              <w:rPr>
                <w:rFonts w:cs="Arial"/>
                <w:sz w:val="20"/>
                <w:szCs w:val="20"/>
              </w:rPr>
            </w:pPr>
            <w:r w:rsidRPr="005B14D0">
              <w:rPr>
                <w:rFonts w:cs="Arial"/>
                <w:sz w:val="20"/>
                <w:szCs w:val="20"/>
              </w:rPr>
              <w:t>IUCD fitting not for contraception – enhanced services admin</w:t>
            </w:r>
          </w:p>
          <w:p w:rsidR="005B14D0" w:rsidRDefault="005B14D0" w:rsidP="005B14D0">
            <w:pPr>
              <w:autoSpaceDE w:val="0"/>
              <w:autoSpaceDN w:val="0"/>
              <w:adjustRightInd w:val="0"/>
              <w:rPr>
                <w:rFonts w:cs="Arial"/>
                <w:sz w:val="20"/>
                <w:szCs w:val="20"/>
              </w:rPr>
            </w:pPr>
            <w:r w:rsidRPr="005B14D0">
              <w:rPr>
                <w:rFonts w:cs="Arial"/>
                <w:sz w:val="20"/>
                <w:szCs w:val="20"/>
              </w:rPr>
              <w:t>And a problem code for reason for fitting for non-contraceptive use</w:t>
            </w:r>
          </w:p>
          <w:p w:rsidR="00D31030" w:rsidRPr="000A427D" w:rsidRDefault="00D31030" w:rsidP="007D0835">
            <w:pPr>
              <w:autoSpaceDE w:val="0"/>
              <w:autoSpaceDN w:val="0"/>
              <w:adjustRightInd w:val="0"/>
              <w:rPr>
                <w:rFonts w:cs="Arial"/>
                <w:sz w:val="20"/>
                <w:szCs w:val="20"/>
              </w:rPr>
            </w:pPr>
          </w:p>
          <w:p w:rsidR="00DC3C54" w:rsidRPr="000A427D" w:rsidRDefault="00D31030" w:rsidP="007D0835">
            <w:pPr>
              <w:autoSpaceDE w:val="0"/>
              <w:autoSpaceDN w:val="0"/>
              <w:adjustRightInd w:val="0"/>
              <w:rPr>
                <w:rFonts w:cs="Arial"/>
                <w:sz w:val="20"/>
                <w:szCs w:val="20"/>
              </w:rPr>
            </w:pPr>
            <w:r w:rsidRPr="000A427D">
              <w:rPr>
                <w:rFonts w:cs="Arial"/>
                <w:sz w:val="20"/>
                <w:szCs w:val="20"/>
              </w:rPr>
              <w:t xml:space="preserve">Please see Schedule 3 Part A for the Local Prices. </w:t>
            </w:r>
            <w:r w:rsidR="00DC3C54" w:rsidRPr="000A427D">
              <w:rPr>
                <w:rFonts w:cs="Arial"/>
                <w:sz w:val="20"/>
                <w:szCs w:val="20"/>
              </w:rPr>
              <w:t xml:space="preserve"> </w:t>
            </w:r>
          </w:p>
          <w:tbl>
            <w:tblPr>
              <w:tblW w:w="5371" w:type="dxa"/>
              <w:tblCellMar>
                <w:left w:w="0" w:type="dxa"/>
                <w:right w:w="0" w:type="dxa"/>
              </w:tblCellMar>
              <w:tblLook w:val="04A0" w:firstRow="1" w:lastRow="0" w:firstColumn="1" w:lastColumn="0" w:noHBand="0" w:noVBand="1"/>
            </w:tblPr>
            <w:tblGrid>
              <w:gridCol w:w="2339"/>
              <w:gridCol w:w="1791"/>
              <w:gridCol w:w="1241"/>
            </w:tblGrid>
            <w:tr w:rsidR="00DC3C54" w:rsidTr="00DC3C54">
              <w:trPr>
                <w:trHeight w:val="261"/>
              </w:trPr>
              <w:tc>
                <w:tcPr>
                  <w:tcW w:w="4130" w:type="dxa"/>
                  <w:gridSpan w:val="2"/>
                  <w:tcBorders>
                    <w:top w:val="double" w:sz="4" w:space="0" w:color="auto"/>
                    <w:left w:val="double" w:sz="4" w:space="0" w:color="auto"/>
                    <w:bottom w:val="single" w:sz="8" w:space="0" w:color="auto"/>
                    <w:right w:val="single" w:sz="8" w:space="0" w:color="auto"/>
                  </w:tcBorders>
                  <w:tcMar>
                    <w:top w:w="0" w:type="dxa"/>
                    <w:left w:w="108" w:type="dxa"/>
                    <w:bottom w:w="0" w:type="dxa"/>
                    <w:right w:w="108" w:type="dxa"/>
                  </w:tcMar>
                  <w:hideMark/>
                </w:tcPr>
                <w:p w:rsidR="00DC3C54" w:rsidRPr="00DC3C54" w:rsidRDefault="00DC3C54">
                  <w:pPr>
                    <w:rPr>
                      <w:rFonts w:ascii="Calibri" w:eastAsiaTheme="minorHAnsi" w:hAnsi="Calibri" w:cs="Calibri"/>
                      <w:sz w:val="16"/>
                      <w:szCs w:val="16"/>
                    </w:rPr>
                  </w:pPr>
                  <w:r w:rsidRPr="00DC3C54">
                    <w:rPr>
                      <w:sz w:val="16"/>
                      <w:szCs w:val="16"/>
                    </w:rPr>
                    <w:t xml:space="preserve">                                                                                 </w:t>
                  </w:r>
                </w:p>
              </w:tc>
              <w:tc>
                <w:tcPr>
                  <w:tcW w:w="1241" w:type="dxa"/>
                  <w:tcBorders>
                    <w:top w:val="double" w:sz="4" w:space="0" w:color="auto"/>
                    <w:left w:val="nil"/>
                    <w:bottom w:val="single" w:sz="8" w:space="0" w:color="auto"/>
                    <w:right w:val="single" w:sz="8" w:space="0" w:color="auto"/>
                  </w:tcBorders>
                  <w:tcMar>
                    <w:top w:w="0" w:type="dxa"/>
                    <w:left w:w="108" w:type="dxa"/>
                    <w:bottom w:w="0" w:type="dxa"/>
                    <w:right w:w="108" w:type="dxa"/>
                  </w:tcMar>
                  <w:vAlign w:val="center"/>
                  <w:hideMark/>
                </w:tcPr>
                <w:p w:rsidR="00DC3C54" w:rsidRPr="00DC3C54" w:rsidRDefault="00DC3C54">
                  <w:pPr>
                    <w:jc w:val="center"/>
                    <w:rPr>
                      <w:rFonts w:ascii="Calibri" w:eastAsiaTheme="minorHAnsi" w:hAnsi="Calibri" w:cs="Calibri"/>
                      <w:sz w:val="16"/>
                      <w:szCs w:val="16"/>
                    </w:rPr>
                  </w:pPr>
                  <w:r w:rsidRPr="00DC3C54">
                    <w:rPr>
                      <w:b/>
                      <w:bCs w:val="0"/>
                      <w:sz w:val="16"/>
                      <w:szCs w:val="16"/>
                    </w:rPr>
                    <w:t>Fees</w:t>
                  </w:r>
                </w:p>
              </w:tc>
            </w:tr>
            <w:tr w:rsidR="00DC3C54" w:rsidTr="00DC3C54">
              <w:trPr>
                <w:trHeight w:val="378"/>
              </w:trPr>
              <w:tc>
                <w:tcPr>
                  <w:tcW w:w="2339" w:type="dxa"/>
                  <w:vMerge w:val="restart"/>
                  <w:tcBorders>
                    <w:top w:val="nil"/>
                    <w:left w:val="double" w:sz="4" w:space="0" w:color="auto"/>
                    <w:bottom w:val="single" w:sz="8" w:space="0" w:color="auto"/>
                    <w:right w:val="single" w:sz="8" w:space="0" w:color="auto"/>
                  </w:tcBorders>
                  <w:tcMar>
                    <w:top w:w="0" w:type="dxa"/>
                    <w:left w:w="108" w:type="dxa"/>
                    <w:bottom w:w="0" w:type="dxa"/>
                    <w:right w:w="108" w:type="dxa"/>
                  </w:tcMar>
                  <w:vAlign w:val="center"/>
                  <w:hideMark/>
                </w:tcPr>
                <w:p w:rsidR="00DC3C54" w:rsidRPr="00DC3C54" w:rsidRDefault="00DC3C54">
                  <w:pPr>
                    <w:rPr>
                      <w:rFonts w:ascii="Calibri" w:eastAsiaTheme="minorHAnsi" w:hAnsi="Calibri" w:cs="Calibri"/>
                      <w:sz w:val="16"/>
                      <w:szCs w:val="16"/>
                    </w:rPr>
                  </w:pPr>
                  <w:r w:rsidRPr="00DC3C54">
                    <w:rPr>
                      <w:b/>
                      <w:bCs w:val="0"/>
                      <w:color w:val="000000"/>
                      <w:sz w:val="16"/>
                      <w:szCs w:val="16"/>
                    </w:rPr>
                    <w:t>IUCD – IUS V3</w:t>
                  </w:r>
                </w:p>
              </w:tc>
              <w:tc>
                <w:tcPr>
                  <w:tcW w:w="17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C3C54" w:rsidRPr="00DC3C54" w:rsidRDefault="00DC3C54">
                  <w:pPr>
                    <w:rPr>
                      <w:rFonts w:ascii="Calibri" w:eastAsiaTheme="minorHAnsi" w:hAnsi="Calibri" w:cs="Calibri"/>
                      <w:sz w:val="16"/>
                      <w:szCs w:val="16"/>
                    </w:rPr>
                  </w:pPr>
                  <w:r w:rsidRPr="00DC3C54">
                    <w:rPr>
                      <w:sz w:val="16"/>
                      <w:szCs w:val="16"/>
                    </w:rPr>
                    <w:t>IUCD Fitting</w:t>
                  </w:r>
                </w:p>
              </w:tc>
              <w:tc>
                <w:tcPr>
                  <w:tcW w:w="12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C3C54" w:rsidRPr="00DC3C54" w:rsidRDefault="00DC3C54">
                  <w:pPr>
                    <w:rPr>
                      <w:rFonts w:ascii="Calibri" w:eastAsiaTheme="minorHAnsi" w:hAnsi="Calibri" w:cs="Calibri"/>
                      <w:sz w:val="16"/>
                      <w:szCs w:val="16"/>
                    </w:rPr>
                  </w:pPr>
                  <w:r w:rsidRPr="00DC3C54">
                    <w:rPr>
                      <w:sz w:val="16"/>
                      <w:szCs w:val="16"/>
                    </w:rPr>
                    <w:t>@</w:t>
                  </w:r>
                  <w:r w:rsidRPr="00DC3C54">
                    <w:rPr>
                      <w:color w:val="FF0000"/>
                      <w:sz w:val="16"/>
                      <w:szCs w:val="16"/>
                    </w:rPr>
                    <w:t xml:space="preserve"> </w:t>
                  </w:r>
                  <w:r w:rsidRPr="00DC3C54">
                    <w:rPr>
                      <w:sz w:val="16"/>
                      <w:szCs w:val="16"/>
                    </w:rPr>
                    <w:t>£80.00</w:t>
                  </w:r>
                </w:p>
              </w:tc>
            </w:tr>
            <w:tr w:rsidR="00DC3C54" w:rsidTr="00563F77">
              <w:trPr>
                <w:trHeight w:val="411"/>
              </w:trPr>
              <w:tc>
                <w:tcPr>
                  <w:tcW w:w="0" w:type="auto"/>
                  <w:vMerge/>
                  <w:tcBorders>
                    <w:top w:val="nil"/>
                    <w:left w:val="double" w:sz="4" w:space="0" w:color="auto"/>
                    <w:bottom w:val="nil"/>
                    <w:right w:val="single" w:sz="8" w:space="0" w:color="auto"/>
                  </w:tcBorders>
                  <w:vAlign w:val="center"/>
                  <w:hideMark/>
                </w:tcPr>
                <w:p w:rsidR="00DC3C54" w:rsidRPr="00DC3C54" w:rsidRDefault="00DC3C54">
                  <w:pPr>
                    <w:rPr>
                      <w:rFonts w:ascii="Calibri" w:eastAsiaTheme="minorHAnsi" w:hAnsi="Calibri" w:cs="Calibri"/>
                      <w:sz w:val="22"/>
                      <w:szCs w:val="22"/>
                    </w:rPr>
                  </w:pPr>
                </w:p>
              </w:tc>
              <w:tc>
                <w:tcPr>
                  <w:tcW w:w="1791" w:type="dxa"/>
                  <w:tcBorders>
                    <w:top w:val="nil"/>
                    <w:left w:val="nil"/>
                    <w:bottom w:val="nil"/>
                    <w:right w:val="single" w:sz="8" w:space="0" w:color="auto"/>
                  </w:tcBorders>
                  <w:tcMar>
                    <w:top w:w="0" w:type="dxa"/>
                    <w:left w:w="108" w:type="dxa"/>
                    <w:bottom w:w="0" w:type="dxa"/>
                    <w:right w:w="108" w:type="dxa"/>
                  </w:tcMar>
                  <w:vAlign w:val="center"/>
                  <w:hideMark/>
                </w:tcPr>
                <w:p w:rsidR="00DC3C54" w:rsidRPr="00DC3C54" w:rsidRDefault="00DC3C54">
                  <w:pPr>
                    <w:rPr>
                      <w:rFonts w:ascii="Calibri" w:eastAsiaTheme="minorHAnsi" w:hAnsi="Calibri" w:cs="Calibri"/>
                      <w:sz w:val="16"/>
                      <w:szCs w:val="16"/>
                    </w:rPr>
                  </w:pPr>
                  <w:r w:rsidRPr="00DC3C54">
                    <w:rPr>
                      <w:sz w:val="16"/>
                      <w:szCs w:val="16"/>
                    </w:rPr>
                    <w:t xml:space="preserve">IUCD Refit  </w:t>
                  </w:r>
                </w:p>
              </w:tc>
              <w:tc>
                <w:tcPr>
                  <w:tcW w:w="1241" w:type="dxa"/>
                  <w:tcBorders>
                    <w:top w:val="nil"/>
                    <w:left w:val="nil"/>
                    <w:bottom w:val="nil"/>
                    <w:right w:val="single" w:sz="8" w:space="0" w:color="auto"/>
                  </w:tcBorders>
                  <w:tcMar>
                    <w:top w:w="0" w:type="dxa"/>
                    <w:left w:w="108" w:type="dxa"/>
                    <w:bottom w:w="0" w:type="dxa"/>
                    <w:right w:w="108" w:type="dxa"/>
                  </w:tcMar>
                  <w:vAlign w:val="center"/>
                  <w:hideMark/>
                </w:tcPr>
                <w:p w:rsidR="00DC3C54" w:rsidRPr="00DC3C54" w:rsidRDefault="00DC3C54">
                  <w:pPr>
                    <w:rPr>
                      <w:rFonts w:ascii="Calibri" w:eastAsiaTheme="minorHAnsi" w:hAnsi="Calibri" w:cs="Calibri"/>
                      <w:sz w:val="16"/>
                      <w:szCs w:val="16"/>
                    </w:rPr>
                  </w:pPr>
                  <w:r w:rsidRPr="00DC3C54">
                    <w:rPr>
                      <w:sz w:val="16"/>
                      <w:szCs w:val="16"/>
                    </w:rPr>
                    <w:t>@</w:t>
                  </w:r>
                  <w:r w:rsidRPr="00DC3C54">
                    <w:rPr>
                      <w:color w:val="FF0000"/>
                      <w:sz w:val="16"/>
                      <w:szCs w:val="16"/>
                    </w:rPr>
                    <w:t xml:space="preserve"> </w:t>
                  </w:r>
                  <w:r w:rsidRPr="00DC3C54">
                    <w:rPr>
                      <w:sz w:val="16"/>
                      <w:szCs w:val="16"/>
                    </w:rPr>
                    <w:t>£40.00</w:t>
                  </w:r>
                </w:p>
              </w:tc>
            </w:tr>
          </w:tbl>
          <w:p w:rsidR="00563F77" w:rsidRDefault="00563F77" w:rsidP="007D0835">
            <w:pPr>
              <w:autoSpaceDE w:val="0"/>
              <w:autoSpaceDN w:val="0"/>
              <w:adjustRightInd w:val="0"/>
              <w:rPr>
                <w:rFonts w:eastAsia="MS Mincho" w:cs="Arial"/>
                <w:lang w:val="en-US" w:eastAsia="ja-JP"/>
              </w:rPr>
            </w:pPr>
          </w:p>
          <w:p w:rsidR="00563F77" w:rsidRPr="000A427D" w:rsidRDefault="00972564" w:rsidP="007D0835">
            <w:pPr>
              <w:autoSpaceDE w:val="0"/>
              <w:autoSpaceDN w:val="0"/>
              <w:adjustRightInd w:val="0"/>
              <w:rPr>
                <w:rFonts w:eastAsia="MS Mincho" w:cs="Arial"/>
                <w:lang w:val="en-US" w:eastAsia="ja-JP"/>
              </w:rPr>
            </w:pPr>
            <w:r w:rsidRPr="000A427D">
              <w:rPr>
                <w:rFonts w:eastAsia="MS Mincho" w:cs="Arial"/>
                <w:sz w:val="20"/>
                <w:szCs w:val="20"/>
                <w:lang w:eastAsia="ja-JP"/>
              </w:rPr>
              <w:lastRenderedPageBreak/>
              <w:t>In circumstances where an IUCD/IUS comes out shortly after fitting a claim for payment for the refit can be made but payment w</w:t>
            </w:r>
            <w:bookmarkStart w:id="1" w:name="_GoBack"/>
            <w:bookmarkEnd w:id="1"/>
            <w:r w:rsidRPr="000A427D">
              <w:rPr>
                <w:rFonts w:eastAsia="MS Mincho" w:cs="Arial"/>
                <w:sz w:val="20"/>
                <w:szCs w:val="20"/>
                <w:lang w:eastAsia="ja-JP"/>
              </w:rPr>
              <w:t xml:space="preserve">ill be at the lower rate of £40.00.  The refit must be undertaken within 6 weeks of the original fit to qualify for payment.  </w:t>
            </w:r>
          </w:p>
          <w:p w:rsidR="00563F77" w:rsidRPr="005E3EFE" w:rsidRDefault="00563F77" w:rsidP="007D0835">
            <w:pPr>
              <w:autoSpaceDE w:val="0"/>
              <w:autoSpaceDN w:val="0"/>
              <w:adjustRightInd w:val="0"/>
              <w:rPr>
                <w:rFonts w:eastAsia="MS Mincho" w:cs="Arial"/>
                <w:lang w:val="en-US" w:eastAsia="ja-JP"/>
              </w:rPr>
            </w:pPr>
          </w:p>
        </w:tc>
      </w:tr>
      <w:tr w:rsidR="00D31030" w:rsidRPr="00CF1B00" w:rsidTr="007D0835">
        <w:tc>
          <w:tcPr>
            <w:tcW w:w="8414" w:type="dxa"/>
            <w:shd w:val="clear" w:color="auto" w:fill="333300"/>
          </w:tcPr>
          <w:p w:rsidR="00D31030" w:rsidRPr="00CF1B00" w:rsidRDefault="00D31030" w:rsidP="007D0835">
            <w:pPr>
              <w:rPr>
                <w:rFonts w:eastAsia="MS Mincho" w:cs="Arial"/>
                <w:b/>
                <w:lang w:val="en-US" w:eastAsia="ja-JP"/>
              </w:rPr>
            </w:pPr>
            <w:r w:rsidRPr="003F6BE2">
              <w:rPr>
                <w:rFonts w:eastAsia="MS Mincho" w:cs="Arial"/>
                <w:b/>
                <w:color w:val="FF9900"/>
                <w:lang w:val="en-US" w:eastAsia="ja-JP"/>
              </w:rPr>
              <w:lastRenderedPageBreak/>
              <w:t>5.</w:t>
            </w:r>
            <w:r w:rsidRPr="003F6BE2">
              <w:rPr>
                <w:rFonts w:eastAsia="MS Mincho" w:cs="Arial"/>
                <w:b/>
                <w:color w:val="FF9900"/>
                <w:lang w:val="en-US" w:eastAsia="ja-JP"/>
              </w:rPr>
              <w:tab/>
              <w:t>Applicable quality requirements and CQUIN goals</w:t>
            </w:r>
          </w:p>
        </w:tc>
      </w:tr>
      <w:tr w:rsidR="00D31030" w:rsidRPr="00CF1B00" w:rsidTr="007D0835">
        <w:tc>
          <w:tcPr>
            <w:tcW w:w="8414" w:type="dxa"/>
            <w:shd w:val="clear" w:color="auto" w:fill="auto"/>
          </w:tcPr>
          <w:p w:rsidR="00D31030" w:rsidRPr="003F6BE2" w:rsidRDefault="00D31030" w:rsidP="007D0835">
            <w:pPr>
              <w:rPr>
                <w:rFonts w:eastAsia="MS Mincho" w:cs="Arial"/>
                <w:sz w:val="20"/>
                <w:szCs w:val="20"/>
                <w:lang w:val="en-US" w:eastAsia="ja-JP"/>
              </w:rPr>
            </w:pPr>
          </w:p>
          <w:p w:rsidR="00D31030" w:rsidRPr="003F6BE2" w:rsidRDefault="00D31030" w:rsidP="00D31030">
            <w:pPr>
              <w:numPr>
                <w:ilvl w:val="1"/>
                <w:numId w:val="4"/>
              </w:numPr>
              <w:ind w:left="743" w:hanging="743"/>
              <w:rPr>
                <w:rFonts w:cs="Arial"/>
                <w:b/>
                <w:sz w:val="20"/>
                <w:szCs w:val="20"/>
                <w:lang w:eastAsia="en-GB"/>
              </w:rPr>
            </w:pPr>
            <w:r w:rsidRPr="003F6BE2">
              <w:rPr>
                <w:rFonts w:cs="Arial"/>
                <w:b/>
                <w:sz w:val="20"/>
                <w:szCs w:val="20"/>
                <w:lang w:eastAsia="en-GB"/>
              </w:rPr>
              <w:t>Applicable Quality Requirements (See Schedule 4A-C)</w:t>
            </w:r>
          </w:p>
          <w:p w:rsidR="00D31030" w:rsidRPr="003F6BE2" w:rsidRDefault="00D31030" w:rsidP="007D0835">
            <w:pPr>
              <w:ind w:left="743"/>
              <w:rPr>
                <w:rFonts w:cs="Arial"/>
                <w:b/>
                <w:sz w:val="20"/>
                <w:szCs w:val="20"/>
                <w:lang w:eastAsia="en-GB"/>
              </w:rPr>
            </w:pPr>
          </w:p>
          <w:p w:rsidR="00D31030" w:rsidRPr="003F6BE2" w:rsidRDefault="00D31030" w:rsidP="00D31030">
            <w:pPr>
              <w:numPr>
                <w:ilvl w:val="1"/>
                <w:numId w:val="4"/>
              </w:numPr>
              <w:ind w:left="743" w:hanging="743"/>
              <w:rPr>
                <w:rFonts w:cs="Arial"/>
                <w:b/>
                <w:sz w:val="20"/>
                <w:szCs w:val="20"/>
                <w:lang w:eastAsia="en-GB"/>
              </w:rPr>
            </w:pPr>
            <w:r w:rsidRPr="003F6BE2">
              <w:rPr>
                <w:rFonts w:cs="Arial"/>
                <w:b/>
                <w:sz w:val="20"/>
                <w:szCs w:val="20"/>
                <w:lang w:eastAsia="en-GB"/>
              </w:rPr>
              <w:t>Applicable CQUIN goals (See Schedule 4D)</w:t>
            </w:r>
          </w:p>
          <w:p w:rsidR="00D31030" w:rsidRPr="00531D5E" w:rsidRDefault="00D31030" w:rsidP="007D0835">
            <w:pPr>
              <w:rPr>
                <w:rFonts w:eastAsia="MS Mincho" w:cs="Arial"/>
                <w:sz w:val="20"/>
                <w:szCs w:val="20"/>
                <w:lang w:val="en-US" w:eastAsia="ja-JP"/>
              </w:rPr>
            </w:pPr>
          </w:p>
          <w:p w:rsidR="00D31030" w:rsidRPr="00531D5E" w:rsidRDefault="00D31030" w:rsidP="007D0835">
            <w:pPr>
              <w:rPr>
                <w:rFonts w:eastAsia="MS Mincho" w:cs="Arial"/>
                <w:sz w:val="20"/>
                <w:szCs w:val="20"/>
                <w:lang w:val="en-US" w:eastAsia="ja-JP"/>
              </w:rPr>
            </w:pPr>
            <w:r w:rsidRPr="00531D5E">
              <w:rPr>
                <w:rFonts w:eastAsia="MS Mincho" w:cs="Arial"/>
                <w:sz w:val="20"/>
                <w:szCs w:val="20"/>
                <w:lang w:val="en-US" w:eastAsia="ja-JP"/>
              </w:rPr>
              <w:t>Not applicable.</w:t>
            </w:r>
          </w:p>
          <w:p w:rsidR="00D31030" w:rsidRPr="00CF1B00" w:rsidRDefault="00D31030" w:rsidP="007D0835">
            <w:pPr>
              <w:rPr>
                <w:rFonts w:eastAsia="MS Mincho" w:cs="Arial"/>
                <w:lang w:val="en-US" w:eastAsia="ja-JP"/>
              </w:rPr>
            </w:pPr>
          </w:p>
        </w:tc>
      </w:tr>
      <w:tr w:rsidR="00D31030" w:rsidRPr="00CF1B00" w:rsidTr="007D0835">
        <w:tc>
          <w:tcPr>
            <w:tcW w:w="8414" w:type="dxa"/>
            <w:shd w:val="clear" w:color="auto" w:fill="333300"/>
          </w:tcPr>
          <w:p w:rsidR="00D31030" w:rsidRPr="00CF1B00" w:rsidRDefault="00D31030" w:rsidP="007D0835">
            <w:pPr>
              <w:rPr>
                <w:rFonts w:eastAsia="MS Mincho" w:cs="Arial"/>
                <w:b/>
                <w:lang w:val="en-US" w:eastAsia="ja-JP"/>
              </w:rPr>
            </w:pPr>
            <w:r w:rsidRPr="003F6BE2">
              <w:rPr>
                <w:rFonts w:eastAsia="MS Mincho" w:cs="Arial"/>
                <w:b/>
                <w:color w:val="FF9900"/>
                <w:lang w:val="en-US" w:eastAsia="ja-JP"/>
              </w:rPr>
              <w:t>6.</w:t>
            </w:r>
            <w:r w:rsidRPr="003F6BE2">
              <w:rPr>
                <w:rFonts w:eastAsia="MS Mincho" w:cs="Arial"/>
                <w:b/>
                <w:color w:val="FF9900"/>
                <w:lang w:val="en-US" w:eastAsia="ja-JP"/>
              </w:rPr>
              <w:tab/>
              <w:t>Location of Provider Premises</w:t>
            </w:r>
          </w:p>
        </w:tc>
      </w:tr>
      <w:tr w:rsidR="00D31030" w:rsidRPr="00CF1B00" w:rsidTr="007D0835">
        <w:tc>
          <w:tcPr>
            <w:tcW w:w="8414" w:type="dxa"/>
            <w:shd w:val="clear" w:color="auto" w:fill="auto"/>
          </w:tcPr>
          <w:p w:rsidR="00D31030" w:rsidRPr="003F6BE2" w:rsidRDefault="00D31030" w:rsidP="007D0835">
            <w:pPr>
              <w:rPr>
                <w:rFonts w:eastAsia="MS Mincho" w:cs="Arial"/>
                <w:sz w:val="20"/>
                <w:szCs w:val="20"/>
                <w:lang w:val="en-US" w:eastAsia="ja-JP"/>
              </w:rPr>
            </w:pPr>
          </w:p>
          <w:p w:rsidR="00D31030" w:rsidRPr="003F6BE2" w:rsidRDefault="00D31030" w:rsidP="007D0835">
            <w:pPr>
              <w:rPr>
                <w:rFonts w:eastAsia="MS Mincho" w:cs="Arial"/>
                <w:sz w:val="20"/>
                <w:szCs w:val="20"/>
                <w:lang w:val="en-US" w:eastAsia="ja-JP"/>
              </w:rPr>
            </w:pPr>
            <w:r>
              <w:rPr>
                <w:rFonts w:eastAsia="MS Mincho" w:cs="Arial"/>
                <w:sz w:val="20"/>
                <w:szCs w:val="20"/>
                <w:lang w:val="en-US" w:eastAsia="ja-JP"/>
              </w:rPr>
              <w:t>The service shall</w:t>
            </w:r>
            <w:r w:rsidRPr="003F6BE2">
              <w:rPr>
                <w:rFonts w:eastAsia="MS Mincho" w:cs="Arial"/>
                <w:sz w:val="20"/>
                <w:szCs w:val="20"/>
                <w:lang w:val="en-US" w:eastAsia="ja-JP"/>
              </w:rPr>
              <w:t xml:space="preserve"> be provided at the relevant General Practice premises. </w:t>
            </w:r>
          </w:p>
          <w:p w:rsidR="00D31030" w:rsidRPr="00CF1B00" w:rsidRDefault="00D31030" w:rsidP="007D0835">
            <w:pPr>
              <w:rPr>
                <w:rFonts w:eastAsia="MS Mincho" w:cs="Arial"/>
                <w:lang w:val="en-US" w:eastAsia="ja-JP"/>
              </w:rPr>
            </w:pPr>
          </w:p>
        </w:tc>
      </w:tr>
      <w:tr w:rsidR="00D31030" w:rsidRPr="00CF1B00" w:rsidTr="007D0835">
        <w:tc>
          <w:tcPr>
            <w:tcW w:w="8414" w:type="dxa"/>
            <w:shd w:val="clear" w:color="auto" w:fill="333300"/>
          </w:tcPr>
          <w:p w:rsidR="00D31030" w:rsidRPr="003F6BE2" w:rsidRDefault="00D31030" w:rsidP="007D0835">
            <w:pPr>
              <w:rPr>
                <w:rFonts w:eastAsia="MS Mincho" w:cs="Arial"/>
                <w:b/>
                <w:szCs w:val="24"/>
                <w:lang w:val="en-US" w:eastAsia="ja-JP"/>
              </w:rPr>
            </w:pPr>
            <w:r w:rsidRPr="003F6BE2">
              <w:rPr>
                <w:rFonts w:eastAsia="MS Mincho" w:cs="Arial"/>
                <w:b/>
                <w:color w:val="FF9900"/>
                <w:szCs w:val="24"/>
                <w:lang w:val="en-US" w:eastAsia="ja-JP"/>
              </w:rPr>
              <w:t>7.</w:t>
            </w:r>
            <w:r w:rsidRPr="003F6BE2">
              <w:rPr>
                <w:rFonts w:eastAsia="MS Mincho" w:cs="Arial"/>
                <w:b/>
                <w:color w:val="FF9900"/>
                <w:szCs w:val="24"/>
                <w:lang w:val="en-US" w:eastAsia="ja-JP"/>
              </w:rPr>
              <w:tab/>
              <w:t>Individual Service User Placement</w:t>
            </w:r>
          </w:p>
        </w:tc>
      </w:tr>
      <w:tr w:rsidR="00D31030" w:rsidRPr="00CF1B00" w:rsidTr="007D0835">
        <w:tc>
          <w:tcPr>
            <w:tcW w:w="8414" w:type="dxa"/>
            <w:shd w:val="clear" w:color="auto" w:fill="auto"/>
          </w:tcPr>
          <w:p w:rsidR="00D31030" w:rsidRPr="003F6BE2" w:rsidRDefault="00D31030" w:rsidP="007D0835">
            <w:pPr>
              <w:rPr>
                <w:rFonts w:eastAsia="MS Mincho" w:cs="Arial"/>
                <w:sz w:val="20"/>
                <w:szCs w:val="20"/>
                <w:lang w:val="en-US" w:eastAsia="ja-JP"/>
              </w:rPr>
            </w:pPr>
          </w:p>
          <w:p w:rsidR="00D31030" w:rsidRPr="003F6BE2" w:rsidRDefault="00D31030" w:rsidP="007D0835">
            <w:pPr>
              <w:rPr>
                <w:rFonts w:eastAsia="MS Mincho" w:cs="Arial"/>
                <w:sz w:val="20"/>
                <w:szCs w:val="20"/>
                <w:lang w:val="en-US" w:eastAsia="ja-JP"/>
              </w:rPr>
            </w:pPr>
            <w:r w:rsidRPr="003F6BE2">
              <w:rPr>
                <w:rFonts w:eastAsia="MS Mincho" w:cs="Arial"/>
                <w:sz w:val="20"/>
                <w:szCs w:val="20"/>
                <w:lang w:val="en-US" w:eastAsia="ja-JP"/>
              </w:rPr>
              <w:t xml:space="preserve">Not applicable. </w:t>
            </w:r>
          </w:p>
          <w:p w:rsidR="00D31030" w:rsidRPr="003F6BE2" w:rsidRDefault="00D31030" w:rsidP="007D0835">
            <w:pPr>
              <w:rPr>
                <w:rFonts w:eastAsia="MS Mincho" w:cs="Arial"/>
                <w:sz w:val="20"/>
                <w:szCs w:val="20"/>
                <w:lang w:val="en-US" w:eastAsia="ja-JP"/>
              </w:rPr>
            </w:pPr>
          </w:p>
        </w:tc>
      </w:tr>
    </w:tbl>
    <w:p w:rsidR="00C25D1B" w:rsidRDefault="005B14D0"/>
    <w:sectPr w:rsidR="00C25D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GSMinchoE">
    <w:altName w:val="MS PMincho"/>
    <w:panose1 w:val="00000000000000000000"/>
    <w:charset w:val="8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04458"/>
    <w:multiLevelType w:val="hybridMultilevel"/>
    <w:tmpl w:val="DB025656"/>
    <w:lvl w:ilvl="0" w:tplc="3CDA0706">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5313E2B"/>
    <w:multiLevelType w:val="hybridMultilevel"/>
    <w:tmpl w:val="4D0AE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9702CC"/>
    <w:multiLevelType w:val="hybridMultilevel"/>
    <w:tmpl w:val="12E08D9E"/>
    <w:lvl w:ilvl="0" w:tplc="914C820C">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244E0BD9"/>
    <w:multiLevelType w:val="multilevel"/>
    <w:tmpl w:val="E4B0BBC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nsid w:val="2E95597A"/>
    <w:multiLevelType w:val="multilevel"/>
    <w:tmpl w:val="E214AA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59F5FDA"/>
    <w:multiLevelType w:val="hybridMultilevel"/>
    <w:tmpl w:val="3C16A16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75633431"/>
    <w:multiLevelType w:val="multilevel"/>
    <w:tmpl w:val="D5B86D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4"/>
  </w:num>
  <w:num w:numId="4">
    <w:abstractNumId w:val="6"/>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030"/>
    <w:rsid w:val="0006794F"/>
    <w:rsid w:val="000A427D"/>
    <w:rsid w:val="00111669"/>
    <w:rsid w:val="00114514"/>
    <w:rsid w:val="001919D7"/>
    <w:rsid w:val="00216359"/>
    <w:rsid w:val="002E58C6"/>
    <w:rsid w:val="003302E8"/>
    <w:rsid w:val="004619B7"/>
    <w:rsid w:val="004C5E2F"/>
    <w:rsid w:val="00563F77"/>
    <w:rsid w:val="005B14D0"/>
    <w:rsid w:val="005E215B"/>
    <w:rsid w:val="00683676"/>
    <w:rsid w:val="006B068D"/>
    <w:rsid w:val="00947D12"/>
    <w:rsid w:val="00972564"/>
    <w:rsid w:val="00B14426"/>
    <w:rsid w:val="00B40783"/>
    <w:rsid w:val="00BE3AD3"/>
    <w:rsid w:val="00C35672"/>
    <w:rsid w:val="00C46398"/>
    <w:rsid w:val="00D31030"/>
    <w:rsid w:val="00D44E9A"/>
    <w:rsid w:val="00D829AE"/>
    <w:rsid w:val="00DC3C54"/>
    <w:rsid w:val="00EB6B5E"/>
    <w:rsid w:val="00EC5B07"/>
    <w:rsid w:val="00F34B05"/>
    <w:rsid w:val="00F53824"/>
    <w:rsid w:val="00F70E59"/>
    <w:rsid w:val="00FC00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030"/>
    <w:pPr>
      <w:spacing w:after="0" w:line="240" w:lineRule="auto"/>
    </w:pPr>
    <w:rPr>
      <w:rFonts w:ascii="Arial" w:eastAsia="Times New Roman" w:hAnsi="Arial" w:cs="Times New Roman"/>
      <w:bCs/>
      <w:sz w:val="24"/>
      <w:szCs w:val="26"/>
    </w:rPr>
  </w:style>
  <w:style w:type="paragraph" w:styleId="Heading1">
    <w:name w:val="heading 1"/>
    <w:basedOn w:val="Normal"/>
    <w:next w:val="Normal"/>
    <w:link w:val="Heading1Char"/>
    <w:uiPriority w:val="9"/>
    <w:qFormat/>
    <w:rsid w:val="00D31030"/>
    <w:pPr>
      <w:numPr>
        <w:numId w:val="1"/>
      </w:numPr>
      <w:outlineLvl w:val="0"/>
    </w:pPr>
    <w:rPr>
      <w:rFonts w:cs="Arial"/>
      <w:b/>
      <w:color w:val="0072C6"/>
      <w:kern w:val="32"/>
      <w:sz w:val="32"/>
      <w:szCs w:val="32"/>
    </w:rPr>
  </w:style>
  <w:style w:type="paragraph" w:styleId="Heading2">
    <w:name w:val="heading 2"/>
    <w:basedOn w:val="Normal"/>
    <w:next w:val="Normal"/>
    <w:link w:val="Heading2Char"/>
    <w:uiPriority w:val="9"/>
    <w:unhideWhenUsed/>
    <w:qFormat/>
    <w:rsid w:val="00D31030"/>
    <w:pPr>
      <w:numPr>
        <w:ilvl w:val="1"/>
        <w:numId w:val="1"/>
      </w:numPr>
      <w:spacing w:line="360" w:lineRule="auto"/>
      <w:outlineLvl w:val="1"/>
    </w:pPr>
    <w:rPr>
      <w:b/>
      <w:iCs/>
      <w:color w:val="A00054"/>
      <w:sz w:val="28"/>
      <w:szCs w:val="28"/>
    </w:rPr>
  </w:style>
  <w:style w:type="paragraph" w:styleId="Heading3">
    <w:name w:val="heading 3"/>
    <w:basedOn w:val="Normal"/>
    <w:next w:val="Normal"/>
    <w:link w:val="Heading3Char"/>
    <w:uiPriority w:val="9"/>
    <w:unhideWhenUsed/>
    <w:qFormat/>
    <w:rsid w:val="00D31030"/>
    <w:pPr>
      <w:numPr>
        <w:ilvl w:val="2"/>
        <w:numId w:val="1"/>
      </w:numPr>
      <w:spacing w:line="360" w:lineRule="auto"/>
      <w:outlineLvl w:val="2"/>
    </w:pPr>
    <w:rPr>
      <w:b/>
    </w:rPr>
  </w:style>
  <w:style w:type="paragraph" w:styleId="Heading4">
    <w:name w:val="heading 4"/>
    <w:basedOn w:val="Normal"/>
    <w:next w:val="Normal"/>
    <w:link w:val="Heading4Char"/>
    <w:uiPriority w:val="9"/>
    <w:semiHidden/>
    <w:unhideWhenUsed/>
    <w:qFormat/>
    <w:rsid w:val="00D31030"/>
    <w:pPr>
      <w:keepNext/>
      <w:keepLines/>
      <w:numPr>
        <w:ilvl w:val="3"/>
        <w:numId w:val="1"/>
      </w:numPr>
      <w:spacing w:before="200"/>
      <w:outlineLvl w:val="3"/>
    </w:pPr>
    <w:rPr>
      <w:rFonts w:asciiTheme="majorHAnsi" w:eastAsiaTheme="majorEastAsia" w:hAnsiTheme="majorHAnsi" w:cstheme="majorBidi"/>
      <w:b/>
      <w:bCs w:val="0"/>
      <w:i/>
      <w:iCs/>
      <w:color w:val="4F81BD" w:themeColor="accent1"/>
    </w:rPr>
  </w:style>
  <w:style w:type="paragraph" w:styleId="Heading5">
    <w:name w:val="heading 5"/>
    <w:basedOn w:val="Normal"/>
    <w:next w:val="Normal"/>
    <w:link w:val="Heading5Char"/>
    <w:uiPriority w:val="9"/>
    <w:semiHidden/>
    <w:unhideWhenUsed/>
    <w:qFormat/>
    <w:rsid w:val="00D3103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3103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3103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3103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3103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1030"/>
    <w:rPr>
      <w:rFonts w:ascii="Arial" w:eastAsia="Times New Roman" w:hAnsi="Arial" w:cs="Arial"/>
      <w:b/>
      <w:bCs/>
      <w:color w:val="0072C6"/>
      <w:kern w:val="32"/>
      <w:sz w:val="32"/>
      <w:szCs w:val="32"/>
    </w:rPr>
  </w:style>
  <w:style w:type="character" w:customStyle="1" w:styleId="Heading2Char">
    <w:name w:val="Heading 2 Char"/>
    <w:basedOn w:val="DefaultParagraphFont"/>
    <w:link w:val="Heading2"/>
    <w:uiPriority w:val="9"/>
    <w:rsid w:val="00D31030"/>
    <w:rPr>
      <w:rFonts w:ascii="Arial" w:eastAsia="Times New Roman" w:hAnsi="Arial" w:cs="Times New Roman"/>
      <w:b/>
      <w:bCs/>
      <w:iCs/>
      <w:color w:val="A00054"/>
      <w:sz w:val="28"/>
      <w:szCs w:val="28"/>
    </w:rPr>
  </w:style>
  <w:style w:type="character" w:customStyle="1" w:styleId="Heading3Char">
    <w:name w:val="Heading 3 Char"/>
    <w:basedOn w:val="DefaultParagraphFont"/>
    <w:link w:val="Heading3"/>
    <w:uiPriority w:val="9"/>
    <w:rsid w:val="00D31030"/>
    <w:rPr>
      <w:rFonts w:ascii="Arial" w:eastAsia="Times New Roman" w:hAnsi="Arial" w:cs="Times New Roman"/>
      <w:b/>
      <w:bCs/>
      <w:sz w:val="24"/>
      <w:szCs w:val="26"/>
    </w:rPr>
  </w:style>
  <w:style w:type="character" w:customStyle="1" w:styleId="Heading4Char">
    <w:name w:val="Heading 4 Char"/>
    <w:basedOn w:val="DefaultParagraphFont"/>
    <w:link w:val="Heading4"/>
    <w:uiPriority w:val="9"/>
    <w:semiHidden/>
    <w:rsid w:val="00D31030"/>
    <w:rPr>
      <w:rFonts w:asciiTheme="majorHAnsi" w:eastAsiaTheme="majorEastAsia" w:hAnsiTheme="majorHAnsi" w:cstheme="majorBidi"/>
      <w:b/>
      <w:i/>
      <w:iCs/>
      <w:color w:val="4F81BD" w:themeColor="accent1"/>
      <w:sz w:val="24"/>
      <w:szCs w:val="26"/>
    </w:rPr>
  </w:style>
  <w:style w:type="character" w:customStyle="1" w:styleId="Heading5Char">
    <w:name w:val="Heading 5 Char"/>
    <w:basedOn w:val="DefaultParagraphFont"/>
    <w:link w:val="Heading5"/>
    <w:uiPriority w:val="9"/>
    <w:semiHidden/>
    <w:rsid w:val="00D31030"/>
    <w:rPr>
      <w:rFonts w:asciiTheme="majorHAnsi" w:eastAsiaTheme="majorEastAsia" w:hAnsiTheme="majorHAnsi" w:cstheme="majorBidi"/>
      <w:bCs/>
      <w:color w:val="243F60" w:themeColor="accent1" w:themeShade="7F"/>
      <w:sz w:val="24"/>
      <w:szCs w:val="26"/>
    </w:rPr>
  </w:style>
  <w:style w:type="character" w:customStyle="1" w:styleId="Heading6Char">
    <w:name w:val="Heading 6 Char"/>
    <w:basedOn w:val="DefaultParagraphFont"/>
    <w:link w:val="Heading6"/>
    <w:uiPriority w:val="9"/>
    <w:semiHidden/>
    <w:rsid w:val="00D31030"/>
    <w:rPr>
      <w:rFonts w:asciiTheme="majorHAnsi" w:eastAsiaTheme="majorEastAsia" w:hAnsiTheme="majorHAnsi" w:cstheme="majorBidi"/>
      <w:bCs/>
      <w:i/>
      <w:iCs/>
      <w:color w:val="243F60" w:themeColor="accent1" w:themeShade="7F"/>
      <w:sz w:val="24"/>
      <w:szCs w:val="26"/>
    </w:rPr>
  </w:style>
  <w:style w:type="character" w:customStyle="1" w:styleId="Heading7Char">
    <w:name w:val="Heading 7 Char"/>
    <w:basedOn w:val="DefaultParagraphFont"/>
    <w:link w:val="Heading7"/>
    <w:uiPriority w:val="9"/>
    <w:semiHidden/>
    <w:rsid w:val="00D31030"/>
    <w:rPr>
      <w:rFonts w:asciiTheme="majorHAnsi" w:eastAsiaTheme="majorEastAsia" w:hAnsiTheme="majorHAnsi" w:cstheme="majorBidi"/>
      <w:bCs/>
      <w:i/>
      <w:iCs/>
      <w:color w:val="404040" w:themeColor="text1" w:themeTint="BF"/>
      <w:sz w:val="24"/>
      <w:szCs w:val="26"/>
    </w:rPr>
  </w:style>
  <w:style w:type="character" w:customStyle="1" w:styleId="Heading8Char">
    <w:name w:val="Heading 8 Char"/>
    <w:basedOn w:val="DefaultParagraphFont"/>
    <w:link w:val="Heading8"/>
    <w:uiPriority w:val="9"/>
    <w:semiHidden/>
    <w:rsid w:val="00D31030"/>
    <w:rPr>
      <w:rFonts w:asciiTheme="majorHAnsi" w:eastAsiaTheme="majorEastAsia" w:hAnsiTheme="majorHAnsi" w:cstheme="majorBidi"/>
      <w:bCs/>
      <w:color w:val="404040" w:themeColor="text1" w:themeTint="BF"/>
      <w:sz w:val="20"/>
      <w:szCs w:val="20"/>
    </w:rPr>
  </w:style>
  <w:style w:type="character" w:customStyle="1" w:styleId="Heading9Char">
    <w:name w:val="Heading 9 Char"/>
    <w:basedOn w:val="DefaultParagraphFont"/>
    <w:link w:val="Heading9"/>
    <w:uiPriority w:val="9"/>
    <w:semiHidden/>
    <w:rsid w:val="00D31030"/>
    <w:rPr>
      <w:rFonts w:asciiTheme="majorHAnsi" w:eastAsiaTheme="majorEastAsia" w:hAnsiTheme="majorHAnsi" w:cstheme="majorBidi"/>
      <w:bCs/>
      <w:i/>
      <w:iCs/>
      <w:color w:val="404040" w:themeColor="text1" w:themeTint="BF"/>
      <w:sz w:val="20"/>
      <w:szCs w:val="20"/>
    </w:rPr>
  </w:style>
  <w:style w:type="character" w:styleId="Hyperlink">
    <w:name w:val="Hyperlink"/>
    <w:uiPriority w:val="99"/>
    <w:unhideWhenUsed/>
    <w:rsid w:val="00D31030"/>
    <w:rPr>
      <w:color w:val="0000FF"/>
      <w:u w:val="single"/>
    </w:rPr>
  </w:style>
  <w:style w:type="table" w:styleId="TableGrid">
    <w:name w:val="Table Grid"/>
    <w:basedOn w:val="TableNormal"/>
    <w:uiPriority w:val="59"/>
    <w:rsid w:val="00D31030"/>
    <w:pPr>
      <w:spacing w:after="0" w:line="240" w:lineRule="auto"/>
    </w:pPr>
    <w:rPr>
      <w:rFonts w:ascii="Arial" w:eastAsia="HGSMinchoE" w:hAnsi="Arial" w:cs="Times New Roman"/>
      <w:sz w:val="24"/>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31030"/>
    <w:pPr>
      <w:ind w:left="720"/>
      <w:contextualSpacing/>
    </w:pPr>
  </w:style>
  <w:style w:type="character" w:customStyle="1" w:styleId="ListParagraphChar">
    <w:name w:val="List Paragraph Char"/>
    <w:basedOn w:val="DefaultParagraphFont"/>
    <w:link w:val="ListParagraph"/>
    <w:uiPriority w:val="34"/>
    <w:locked/>
    <w:rsid w:val="00D31030"/>
    <w:rPr>
      <w:rFonts w:ascii="Arial" w:eastAsia="Times New Roman" w:hAnsi="Arial" w:cs="Times New Roman"/>
      <w:bCs/>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030"/>
    <w:pPr>
      <w:spacing w:after="0" w:line="240" w:lineRule="auto"/>
    </w:pPr>
    <w:rPr>
      <w:rFonts w:ascii="Arial" w:eastAsia="Times New Roman" w:hAnsi="Arial" w:cs="Times New Roman"/>
      <w:bCs/>
      <w:sz w:val="24"/>
      <w:szCs w:val="26"/>
    </w:rPr>
  </w:style>
  <w:style w:type="paragraph" w:styleId="Heading1">
    <w:name w:val="heading 1"/>
    <w:basedOn w:val="Normal"/>
    <w:next w:val="Normal"/>
    <w:link w:val="Heading1Char"/>
    <w:uiPriority w:val="9"/>
    <w:qFormat/>
    <w:rsid w:val="00D31030"/>
    <w:pPr>
      <w:numPr>
        <w:numId w:val="1"/>
      </w:numPr>
      <w:outlineLvl w:val="0"/>
    </w:pPr>
    <w:rPr>
      <w:rFonts w:cs="Arial"/>
      <w:b/>
      <w:color w:val="0072C6"/>
      <w:kern w:val="32"/>
      <w:sz w:val="32"/>
      <w:szCs w:val="32"/>
    </w:rPr>
  </w:style>
  <w:style w:type="paragraph" w:styleId="Heading2">
    <w:name w:val="heading 2"/>
    <w:basedOn w:val="Normal"/>
    <w:next w:val="Normal"/>
    <w:link w:val="Heading2Char"/>
    <w:uiPriority w:val="9"/>
    <w:unhideWhenUsed/>
    <w:qFormat/>
    <w:rsid w:val="00D31030"/>
    <w:pPr>
      <w:numPr>
        <w:ilvl w:val="1"/>
        <w:numId w:val="1"/>
      </w:numPr>
      <w:spacing w:line="360" w:lineRule="auto"/>
      <w:outlineLvl w:val="1"/>
    </w:pPr>
    <w:rPr>
      <w:b/>
      <w:iCs/>
      <w:color w:val="A00054"/>
      <w:sz w:val="28"/>
      <w:szCs w:val="28"/>
    </w:rPr>
  </w:style>
  <w:style w:type="paragraph" w:styleId="Heading3">
    <w:name w:val="heading 3"/>
    <w:basedOn w:val="Normal"/>
    <w:next w:val="Normal"/>
    <w:link w:val="Heading3Char"/>
    <w:uiPriority w:val="9"/>
    <w:unhideWhenUsed/>
    <w:qFormat/>
    <w:rsid w:val="00D31030"/>
    <w:pPr>
      <w:numPr>
        <w:ilvl w:val="2"/>
        <w:numId w:val="1"/>
      </w:numPr>
      <w:spacing w:line="360" w:lineRule="auto"/>
      <w:outlineLvl w:val="2"/>
    </w:pPr>
    <w:rPr>
      <w:b/>
    </w:rPr>
  </w:style>
  <w:style w:type="paragraph" w:styleId="Heading4">
    <w:name w:val="heading 4"/>
    <w:basedOn w:val="Normal"/>
    <w:next w:val="Normal"/>
    <w:link w:val="Heading4Char"/>
    <w:uiPriority w:val="9"/>
    <w:semiHidden/>
    <w:unhideWhenUsed/>
    <w:qFormat/>
    <w:rsid w:val="00D31030"/>
    <w:pPr>
      <w:keepNext/>
      <w:keepLines/>
      <w:numPr>
        <w:ilvl w:val="3"/>
        <w:numId w:val="1"/>
      </w:numPr>
      <w:spacing w:before="200"/>
      <w:outlineLvl w:val="3"/>
    </w:pPr>
    <w:rPr>
      <w:rFonts w:asciiTheme="majorHAnsi" w:eastAsiaTheme="majorEastAsia" w:hAnsiTheme="majorHAnsi" w:cstheme="majorBidi"/>
      <w:b/>
      <w:bCs w:val="0"/>
      <w:i/>
      <w:iCs/>
      <w:color w:val="4F81BD" w:themeColor="accent1"/>
    </w:rPr>
  </w:style>
  <w:style w:type="paragraph" w:styleId="Heading5">
    <w:name w:val="heading 5"/>
    <w:basedOn w:val="Normal"/>
    <w:next w:val="Normal"/>
    <w:link w:val="Heading5Char"/>
    <w:uiPriority w:val="9"/>
    <w:semiHidden/>
    <w:unhideWhenUsed/>
    <w:qFormat/>
    <w:rsid w:val="00D3103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3103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3103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3103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3103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1030"/>
    <w:rPr>
      <w:rFonts w:ascii="Arial" w:eastAsia="Times New Roman" w:hAnsi="Arial" w:cs="Arial"/>
      <w:b/>
      <w:bCs/>
      <w:color w:val="0072C6"/>
      <w:kern w:val="32"/>
      <w:sz w:val="32"/>
      <w:szCs w:val="32"/>
    </w:rPr>
  </w:style>
  <w:style w:type="character" w:customStyle="1" w:styleId="Heading2Char">
    <w:name w:val="Heading 2 Char"/>
    <w:basedOn w:val="DefaultParagraphFont"/>
    <w:link w:val="Heading2"/>
    <w:uiPriority w:val="9"/>
    <w:rsid w:val="00D31030"/>
    <w:rPr>
      <w:rFonts w:ascii="Arial" w:eastAsia="Times New Roman" w:hAnsi="Arial" w:cs="Times New Roman"/>
      <w:b/>
      <w:bCs/>
      <w:iCs/>
      <w:color w:val="A00054"/>
      <w:sz w:val="28"/>
      <w:szCs w:val="28"/>
    </w:rPr>
  </w:style>
  <w:style w:type="character" w:customStyle="1" w:styleId="Heading3Char">
    <w:name w:val="Heading 3 Char"/>
    <w:basedOn w:val="DefaultParagraphFont"/>
    <w:link w:val="Heading3"/>
    <w:uiPriority w:val="9"/>
    <w:rsid w:val="00D31030"/>
    <w:rPr>
      <w:rFonts w:ascii="Arial" w:eastAsia="Times New Roman" w:hAnsi="Arial" w:cs="Times New Roman"/>
      <w:b/>
      <w:bCs/>
      <w:sz w:val="24"/>
      <w:szCs w:val="26"/>
    </w:rPr>
  </w:style>
  <w:style w:type="character" w:customStyle="1" w:styleId="Heading4Char">
    <w:name w:val="Heading 4 Char"/>
    <w:basedOn w:val="DefaultParagraphFont"/>
    <w:link w:val="Heading4"/>
    <w:uiPriority w:val="9"/>
    <w:semiHidden/>
    <w:rsid w:val="00D31030"/>
    <w:rPr>
      <w:rFonts w:asciiTheme="majorHAnsi" w:eastAsiaTheme="majorEastAsia" w:hAnsiTheme="majorHAnsi" w:cstheme="majorBidi"/>
      <w:b/>
      <w:i/>
      <w:iCs/>
      <w:color w:val="4F81BD" w:themeColor="accent1"/>
      <w:sz w:val="24"/>
      <w:szCs w:val="26"/>
    </w:rPr>
  </w:style>
  <w:style w:type="character" w:customStyle="1" w:styleId="Heading5Char">
    <w:name w:val="Heading 5 Char"/>
    <w:basedOn w:val="DefaultParagraphFont"/>
    <w:link w:val="Heading5"/>
    <w:uiPriority w:val="9"/>
    <w:semiHidden/>
    <w:rsid w:val="00D31030"/>
    <w:rPr>
      <w:rFonts w:asciiTheme="majorHAnsi" w:eastAsiaTheme="majorEastAsia" w:hAnsiTheme="majorHAnsi" w:cstheme="majorBidi"/>
      <w:bCs/>
      <w:color w:val="243F60" w:themeColor="accent1" w:themeShade="7F"/>
      <w:sz w:val="24"/>
      <w:szCs w:val="26"/>
    </w:rPr>
  </w:style>
  <w:style w:type="character" w:customStyle="1" w:styleId="Heading6Char">
    <w:name w:val="Heading 6 Char"/>
    <w:basedOn w:val="DefaultParagraphFont"/>
    <w:link w:val="Heading6"/>
    <w:uiPriority w:val="9"/>
    <w:semiHidden/>
    <w:rsid w:val="00D31030"/>
    <w:rPr>
      <w:rFonts w:asciiTheme="majorHAnsi" w:eastAsiaTheme="majorEastAsia" w:hAnsiTheme="majorHAnsi" w:cstheme="majorBidi"/>
      <w:bCs/>
      <w:i/>
      <w:iCs/>
      <w:color w:val="243F60" w:themeColor="accent1" w:themeShade="7F"/>
      <w:sz w:val="24"/>
      <w:szCs w:val="26"/>
    </w:rPr>
  </w:style>
  <w:style w:type="character" w:customStyle="1" w:styleId="Heading7Char">
    <w:name w:val="Heading 7 Char"/>
    <w:basedOn w:val="DefaultParagraphFont"/>
    <w:link w:val="Heading7"/>
    <w:uiPriority w:val="9"/>
    <w:semiHidden/>
    <w:rsid w:val="00D31030"/>
    <w:rPr>
      <w:rFonts w:asciiTheme="majorHAnsi" w:eastAsiaTheme="majorEastAsia" w:hAnsiTheme="majorHAnsi" w:cstheme="majorBidi"/>
      <w:bCs/>
      <w:i/>
      <w:iCs/>
      <w:color w:val="404040" w:themeColor="text1" w:themeTint="BF"/>
      <w:sz w:val="24"/>
      <w:szCs w:val="26"/>
    </w:rPr>
  </w:style>
  <w:style w:type="character" w:customStyle="1" w:styleId="Heading8Char">
    <w:name w:val="Heading 8 Char"/>
    <w:basedOn w:val="DefaultParagraphFont"/>
    <w:link w:val="Heading8"/>
    <w:uiPriority w:val="9"/>
    <w:semiHidden/>
    <w:rsid w:val="00D31030"/>
    <w:rPr>
      <w:rFonts w:asciiTheme="majorHAnsi" w:eastAsiaTheme="majorEastAsia" w:hAnsiTheme="majorHAnsi" w:cstheme="majorBidi"/>
      <w:bCs/>
      <w:color w:val="404040" w:themeColor="text1" w:themeTint="BF"/>
      <w:sz w:val="20"/>
      <w:szCs w:val="20"/>
    </w:rPr>
  </w:style>
  <w:style w:type="character" w:customStyle="1" w:styleId="Heading9Char">
    <w:name w:val="Heading 9 Char"/>
    <w:basedOn w:val="DefaultParagraphFont"/>
    <w:link w:val="Heading9"/>
    <w:uiPriority w:val="9"/>
    <w:semiHidden/>
    <w:rsid w:val="00D31030"/>
    <w:rPr>
      <w:rFonts w:asciiTheme="majorHAnsi" w:eastAsiaTheme="majorEastAsia" w:hAnsiTheme="majorHAnsi" w:cstheme="majorBidi"/>
      <w:bCs/>
      <w:i/>
      <w:iCs/>
      <w:color w:val="404040" w:themeColor="text1" w:themeTint="BF"/>
      <w:sz w:val="20"/>
      <w:szCs w:val="20"/>
    </w:rPr>
  </w:style>
  <w:style w:type="character" w:styleId="Hyperlink">
    <w:name w:val="Hyperlink"/>
    <w:uiPriority w:val="99"/>
    <w:unhideWhenUsed/>
    <w:rsid w:val="00D31030"/>
    <w:rPr>
      <w:color w:val="0000FF"/>
      <w:u w:val="single"/>
    </w:rPr>
  </w:style>
  <w:style w:type="table" w:styleId="TableGrid">
    <w:name w:val="Table Grid"/>
    <w:basedOn w:val="TableNormal"/>
    <w:uiPriority w:val="59"/>
    <w:rsid w:val="00D31030"/>
    <w:pPr>
      <w:spacing w:after="0" w:line="240" w:lineRule="auto"/>
    </w:pPr>
    <w:rPr>
      <w:rFonts w:ascii="Arial" w:eastAsia="HGSMinchoE" w:hAnsi="Arial" w:cs="Times New Roman"/>
      <w:sz w:val="24"/>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31030"/>
    <w:pPr>
      <w:ind w:left="720"/>
      <w:contextualSpacing/>
    </w:pPr>
  </w:style>
  <w:style w:type="character" w:customStyle="1" w:styleId="ListParagraphChar">
    <w:name w:val="List Paragraph Char"/>
    <w:basedOn w:val="DefaultParagraphFont"/>
    <w:link w:val="ListParagraph"/>
    <w:uiPriority w:val="34"/>
    <w:locked/>
    <w:rsid w:val="00D31030"/>
    <w:rPr>
      <w:rFonts w:ascii="Arial" w:eastAsia="Times New Roman" w:hAnsi="Arial" w:cs="Times New Roman"/>
      <w:b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21037">
      <w:bodyDiv w:val="1"/>
      <w:marLeft w:val="0"/>
      <w:marRight w:val="0"/>
      <w:marTop w:val="0"/>
      <w:marBottom w:val="0"/>
      <w:divBdr>
        <w:top w:val="none" w:sz="0" w:space="0" w:color="auto"/>
        <w:left w:val="none" w:sz="0" w:space="0" w:color="auto"/>
        <w:bottom w:val="none" w:sz="0" w:space="0" w:color="auto"/>
        <w:right w:val="none" w:sz="0" w:space="0" w:color="auto"/>
      </w:divBdr>
    </w:div>
    <w:div w:id="176098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srh.org/standards-and-guidance/" TargetMode="External"/><Relationship Id="rId3" Type="http://schemas.microsoft.com/office/2007/relationships/stylesWithEffects" Target="stylesWithEffects.xml"/><Relationship Id="rId7" Type="http://schemas.openxmlformats.org/officeDocument/2006/relationships/hyperlink" Target="https://www.medicines.org.uk/emc/medicine/1829/SPC/Miren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ice.org.uk/guidance/ng8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1710</Words>
  <Characters>9749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NHS Shropshire CCG / NHS Telford CCG</Company>
  <LinksUpToDate>false</LinksUpToDate>
  <CharactersWithSpaces>11437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Davies</dc:creator>
  <cp:lastModifiedBy>Bernadette Williams</cp:lastModifiedBy>
  <cp:revision>3</cp:revision>
  <dcterms:created xsi:type="dcterms:W3CDTF">2020-07-16T12:27:00Z</dcterms:created>
  <dcterms:modified xsi:type="dcterms:W3CDTF">2020-07-16T12:30:00Z</dcterms:modified>
</cp:coreProperties>
</file>