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D08" w:rsidRPr="00985DB7" w:rsidRDefault="00235D08" w:rsidP="00235D08">
      <w:pPr>
        <w:pStyle w:val="Heading1"/>
        <w:spacing w:line="240" w:lineRule="auto"/>
        <w:rPr>
          <w:sz w:val="20"/>
          <w:szCs w:val="20"/>
        </w:rPr>
      </w:pPr>
      <w:bookmarkStart w:id="0" w:name="_Toc343591381"/>
      <w:bookmarkStart w:id="1" w:name="_GoBack"/>
      <w:bookmarkEnd w:id="1"/>
      <w:r w:rsidRPr="00985DB7">
        <w:rPr>
          <w:sz w:val="20"/>
          <w:szCs w:val="20"/>
        </w:rPr>
        <w:t>SCHEDULE 2 – THE SERVICES</w:t>
      </w:r>
      <w:bookmarkEnd w:id="0"/>
    </w:p>
    <w:p w:rsidR="00235D08" w:rsidRPr="00985DB7" w:rsidRDefault="00235D08" w:rsidP="00235D08">
      <w:pPr>
        <w:widowControl w:val="0"/>
        <w:spacing w:after="0"/>
        <w:jc w:val="center"/>
        <w:rPr>
          <w:rFonts w:ascii="Arial" w:hAnsi="Arial" w:cs="Arial"/>
          <w:b/>
          <w:bCs/>
          <w:sz w:val="20"/>
        </w:rPr>
      </w:pPr>
    </w:p>
    <w:p w:rsidR="00235D08" w:rsidRPr="00985DB7" w:rsidRDefault="00235D08" w:rsidP="00235D08">
      <w:pPr>
        <w:pStyle w:val="ListParagraph"/>
        <w:numPr>
          <w:ilvl w:val="0"/>
          <w:numId w:val="1"/>
        </w:numPr>
        <w:ind w:left="0" w:firstLine="0"/>
        <w:contextualSpacing/>
        <w:jc w:val="center"/>
        <w:outlineLvl w:val="1"/>
        <w:rPr>
          <w:rFonts w:ascii="Arial" w:hAnsi="Arial" w:cs="Arial"/>
          <w:b/>
          <w:sz w:val="20"/>
          <w:szCs w:val="20"/>
        </w:rPr>
      </w:pPr>
      <w:bookmarkStart w:id="2" w:name="_Toc343591382"/>
      <w:r w:rsidRPr="00985DB7">
        <w:rPr>
          <w:rFonts w:ascii="Arial" w:hAnsi="Arial" w:cs="Arial"/>
          <w:b/>
          <w:sz w:val="20"/>
          <w:szCs w:val="20"/>
        </w:rPr>
        <w:t>Service Specification</w:t>
      </w:r>
      <w:bookmarkEnd w:id="2"/>
    </w:p>
    <w:p w:rsidR="00235D08" w:rsidRPr="00985DB7" w:rsidRDefault="00235D08" w:rsidP="00235D08">
      <w:pPr>
        <w:shd w:val="clear" w:color="auto" w:fill="FFFFFF" w:themeFill="background1"/>
        <w:spacing w:after="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2970"/>
        <w:gridCol w:w="5444"/>
      </w:tblGrid>
      <w:tr w:rsidR="00235D08" w:rsidRPr="00985DB7" w:rsidTr="00584289">
        <w:tc>
          <w:tcPr>
            <w:tcW w:w="2970" w:type="dxa"/>
            <w:shd w:val="clear" w:color="auto" w:fill="4A442A" w:themeFill="background2" w:themeFillShade="40"/>
          </w:tcPr>
          <w:p w:rsidR="00235D08" w:rsidRPr="00985DB7" w:rsidRDefault="00235D08"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Service Specification No.</w:t>
            </w:r>
          </w:p>
        </w:tc>
        <w:tc>
          <w:tcPr>
            <w:tcW w:w="5444" w:type="dxa"/>
            <w:shd w:val="clear" w:color="auto" w:fill="auto"/>
          </w:tcPr>
          <w:p w:rsidR="00235D08" w:rsidRPr="00985DB7" w:rsidRDefault="00007FDD" w:rsidP="00C82780">
            <w:pPr>
              <w:spacing w:after="0"/>
              <w:rPr>
                <w:rFonts w:ascii="Arial" w:hAnsi="Arial" w:cs="Arial"/>
                <w:sz w:val="20"/>
              </w:rPr>
            </w:pPr>
            <w:r>
              <w:rPr>
                <w:rFonts w:ascii="Arial" w:hAnsi="Arial" w:cs="Arial"/>
                <w:sz w:val="20"/>
              </w:rPr>
              <w:t>TBC</w:t>
            </w:r>
          </w:p>
        </w:tc>
      </w:tr>
      <w:tr w:rsidR="00C82780" w:rsidRPr="00985DB7" w:rsidTr="00E24B8C">
        <w:tc>
          <w:tcPr>
            <w:tcW w:w="2970" w:type="dxa"/>
            <w:shd w:val="clear" w:color="auto" w:fill="4A442A" w:themeFill="background2" w:themeFillShade="40"/>
          </w:tcPr>
          <w:p w:rsidR="00C82780" w:rsidRPr="00985DB7" w:rsidRDefault="00C82780"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Service</w:t>
            </w:r>
          </w:p>
        </w:tc>
        <w:tc>
          <w:tcPr>
            <w:tcW w:w="5444" w:type="dxa"/>
            <w:shd w:val="clear" w:color="auto" w:fill="auto"/>
          </w:tcPr>
          <w:p w:rsidR="00C82780" w:rsidRPr="00985DB7" w:rsidRDefault="003607A2" w:rsidP="00C82780">
            <w:pPr>
              <w:spacing w:after="0"/>
              <w:rPr>
                <w:rFonts w:ascii="Arial" w:hAnsi="Arial" w:cs="Arial"/>
                <w:sz w:val="20"/>
              </w:rPr>
            </w:pPr>
            <w:r w:rsidRPr="003607A2">
              <w:rPr>
                <w:rFonts w:ascii="Arial" w:hAnsi="Arial" w:cs="Arial"/>
                <w:sz w:val="20"/>
              </w:rPr>
              <w:t>Enhanced</w:t>
            </w:r>
            <w:r>
              <w:rPr>
                <w:rFonts w:ascii="Arial" w:hAnsi="Arial" w:cs="Arial"/>
                <w:sz w:val="20"/>
              </w:rPr>
              <w:t xml:space="preserve"> </w:t>
            </w:r>
            <w:r w:rsidR="007B2C9C" w:rsidRPr="00985DB7">
              <w:rPr>
                <w:rFonts w:ascii="Arial" w:hAnsi="Arial" w:cs="Arial"/>
                <w:sz w:val="20"/>
              </w:rPr>
              <w:t>Health</w:t>
            </w:r>
            <w:r>
              <w:rPr>
                <w:rFonts w:ascii="Arial" w:hAnsi="Arial" w:cs="Arial"/>
                <w:sz w:val="20"/>
              </w:rPr>
              <w:t xml:space="preserve"> </w:t>
            </w:r>
            <w:r w:rsidR="007B2C9C" w:rsidRPr="00985DB7">
              <w:rPr>
                <w:rFonts w:ascii="Arial" w:hAnsi="Arial" w:cs="Arial"/>
                <w:sz w:val="20"/>
              </w:rPr>
              <w:t>checks for people with Serious Mental Illness (SMI)</w:t>
            </w:r>
          </w:p>
        </w:tc>
      </w:tr>
      <w:tr w:rsidR="00C82780" w:rsidRPr="00985DB7" w:rsidTr="00CE4829">
        <w:tc>
          <w:tcPr>
            <w:tcW w:w="2970" w:type="dxa"/>
            <w:shd w:val="clear" w:color="auto" w:fill="4A442A" w:themeFill="background2" w:themeFillShade="40"/>
          </w:tcPr>
          <w:p w:rsidR="00C82780" w:rsidRPr="00985DB7" w:rsidRDefault="00C82780"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Commissioner Lead</w:t>
            </w:r>
          </w:p>
        </w:tc>
        <w:tc>
          <w:tcPr>
            <w:tcW w:w="5444" w:type="dxa"/>
            <w:shd w:val="clear" w:color="auto" w:fill="auto"/>
          </w:tcPr>
          <w:p w:rsidR="00C82780" w:rsidRPr="00985DB7" w:rsidRDefault="00D500A0" w:rsidP="007B2C9C">
            <w:pPr>
              <w:spacing w:after="0"/>
              <w:rPr>
                <w:rFonts w:ascii="Arial" w:hAnsi="Arial" w:cs="Arial"/>
                <w:sz w:val="20"/>
              </w:rPr>
            </w:pPr>
            <w:r>
              <w:rPr>
                <w:rFonts w:ascii="Arial" w:hAnsi="Arial" w:cs="Arial"/>
                <w:sz w:val="20"/>
              </w:rPr>
              <w:t>Frances Sutherland, Head of Mental Health Commissioning, Telford and Wrekin CCG</w:t>
            </w:r>
          </w:p>
        </w:tc>
      </w:tr>
      <w:tr w:rsidR="00C82780" w:rsidRPr="00985DB7" w:rsidTr="00584289">
        <w:tc>
          <w:tcPr>
            <w:tcW w:w="2970" w:type="dxa"/>
            <w:shd w:val="clear" w:color="auto" w:fill="4A442A" w:themeFill="background2" w:themeFillShade="40"/>
          </w:tcPr>
          <w:p w:rsidR="00C82780" w:rsidRPr="00985DB7" w:rsidRDefault="00C82780"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Provider Lead</w:t>
            </w:r>
          </w:p>
        </w:tc>
        <w:tc>
          <w:tcPr>
            <w:tcW w:w="5444" w:type="dxa"/>
            <w:shd w:val="clear" w:color="auto" w:fill="auto"/>
          </w:tcPr>
          <w:p w:rsidR="00C82780" w:rsidRPr="00985DB7" w:rsidRDefault="00584289" w:rsidP="00C82780">
            <w:pPr>
              <w:spacing w:after="0"/>
              <w:rPr>
                <w:rFonts w:ascii="Arial" w:hAnsi="Arial" w:cs="Arial"/>
                <w:sz w:val="20"/>
              </w:rPr>
            </w:pPr>
            <w:r w:rsidRPr="00985DB7">
              <w:rPr>
                <w:rFonts w:ascii="Arial" w:hAnsi="Arial" w:cs="Arial"/>
                <w:sz w:val="20"/>
              </w:rPr>
              <w:t>GP Practice</w:t>
            </w:r>
          </w:p>
        </w:tc>
      </w:tr>
      <w:tr w:rsidR="00C82780" w:rsidRPr="00985DB7" w:rsidTr="00E24B8C">
        <w:tc>
          <w:tcPr>
            <w:tcW w:w="2970" w:type="dxa"/>
            <w:shd w:val="clear" w:color="auto" w:fill="4A442A" w:themeFill="background2" w:themeFillShade="40"/>
          </w:tcPr>
          <w:p w:rsidR="00C82780" w:rsidRPr="00985DB7" w:rsidRDefault="00C82780"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Period</w:t>
            </w:r>
          </w:p>
        </w:tc>
        <w:tc>
          <w:tcPr>
            <w:tcW w:w="5444" w:type="dxa"/>
            <w:shd w:val="clear" w:color="auto" w:fill="auto"/>
          </w:tcPr>
          <w:p w:rsidR="00C82780" w:rsidRPr="00985DB7" w:rsidRDefault="00C82780" w:rsidP="00743136">
            <w:pPr>
              <w:spacing w:after="0"/>
              <w:rPr>
                <w:rFonts w:ascii="Arial" w:hAnsi="Arial" w:cs="Arial"/>
                <w:sz w:val="20"/>
              </w:rPr>
            </w:pPr>
            <w:r w:rsidRPr="00985DB7">
              <w:rPr>
                <w:rFonts w:ascii="Arial" w:hAnsi="Arial" w:cs="Arial"/>
                <w:sz w:val="20"/>
              </w:rPr>
              <w:t>1</w:t>
            </w:r>
            <w:r w:rsidRPr="00985DB7">
              <w:rPr>
                <w:rFonts w:ascii="Arial" w:hAnsi="Arial" w:cs="Arial"/>
                <w:sz w:val="20"/>
                <w:vertAlign w:val="superscript"/>
              </w:rPr>
              <w:t>st</w:t>
            </w:r>
            <w:r w:rsidR="00703224" w:rsidRPr="00985DB7">
              <w:rPr>
                <w:rFonts w:ascii="Arial" w:hAnsi="Arial" w:cs="Arial"/>
                <w:sz w:val="20"/>
              </w:rPr>
              <w:t xml:space="preserve"> </w:t>
            </w:r>
            <w:r w:rsidR="00815232" w:rsidRPr="00985DB7">
              <w:rPr>
                <w:rFonts w:ascii="Arial" w:hAnsi="Arial" w:cs="Arial"/>
                <w:sz w:val="20"/>
              </w:rPr>
              <w:t>April 20</w:t>
            </w:r>
            <w:r w:rsidR="00743136">
              <w:rPr>
                <w:rFonts w:ascii="Arial" w:hAnsi="Arial" w:cs="Arial"/>
                <w:sz w:val="20"/>
              </w:rPr>
              <w:t>20</w:t>
            </w:r>
            <w:r w:rsidRPr="00985DB7">
              <w:rPr>
                <w:rFonts w:ascii="Arial" w:hAnsi="Arial" w:cs="Arial"/>
                <w:sz w:val="20"/>
              </w:rPr>
              <w:t xml:space="preserve"> to 31</w:t>
            </w:r>
            <w:r w:rsidRPr="00985DB7">
              <w:rPr>
                <w:rFonts w:ascii="Arial" w:hAnsi="Arial" w:cs="Arial"/>
                <w:sz w:val="20"/>
                <w:vertAlign w:val="superscript"/>
              </w:rPr>
              <w:t>st</w:t>
            </w:r>
            <w:r w:rsidR="00703224" w:rsidRPr="00985DB7">
              <w:rPr>
                <w:rFonts w:ascii="Arial" w:hAnsi="Arial" w:cs="Arial"/>
                <w:sz w:val="20"/>
              </w:rPr>
              <w:t xml:space="preserve"> </w:t>
            </w:r>
            <w:r w:rsidR="00815232" w:rsidRPr="00985DB7">
              <w:rPr>
                <w:rFonts w:ascii="Arial" w:hAnsi="Arial" w:cs="Arial"/>
                <w:sz w:val="20"/>
              </w:rPr>
              <w:t>March 202</w:t>
            </w:r>
            <w:r w:rsidR="00743136">
              <w:rPr>
                <w:rFonts w:ascii="Arial" w:hAnsi="Arial" w:cs="Arial"/>
                <w:sz w:val="20"/>
              </w:rPr>
              <w:t>1</w:t>
            </w:r>
          </w:p>
        </w:tc>
      </w:tr>
      <w:tr w:rsidR="00C82780" w:rsidRPr="00985DB7" w:rsidTr="00E24B8C">
        <w:tc>
          <w:tcPr>
            <w:tcW w:w="2970" w:type="dxa"/>
            <w:shd w:val="clear" w:color="auto" w:fill="4A442A" w:themeFill="background2" w:themeFillShade="40"/>
          </w:tcPr>
          <w:p w:rsidR="00C82780" w:rsidRPr="00985DB7" w:rsidRDefault="00C82780" w:rsidP="0030021D">
            <w:pPr>
              <w:spacing w:after="0"/>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t>Date of Review</w:t>
            </w:r>
          </w:p>
        </w:tc>
        <w:tc>
          <w:tcPr>
            <w:tcW w:w="5444" w:type="dxa"/>
            <w:shd w:val="clear" w:color="auto" w:fill="auto"/>
          </w:tcPr>
          <w:p w:rsidR="00C82780" w:rsidRPr="00985DB7" w:rsidRDefault="00743136" w:rsidP="00C82780">
            <w:pPr>
              <w:spacing w:after="0"/>
              <w:rPr>
                <w:rFonts w:ascii="Arial" w:hAnsi="Arial" w:cs="Arial"/>
                <w:sz w:val="20"/>
              </w:rPr>
            </w:pPr>
            <w:r>
              <w:rPr>
                <w:rFonts w:ascii="Arial" w:hAnsi="Arial" w:cs="Arial"/>
                <w:sz w:val="20"/>
              </w:rPr>
              <w:t>October 2020</w:t>
            </w:r>
          </w:p>
        </w:tc>
      </w:tr>
    </w:tbl>
    <w:p w:rsidR="00235D08" w:rsidRPr="00985DB7" w:rsidRDefault="00235D08" w:rsidP="00235D08">
      <w:pPr>
        <w:spacing w:after="0"/>
        <w:jc w:val="center"/>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8414"/>
      </w:tblGrid>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hAnsi="Arial" w:cs="Arial"/>
                <w:b/>
                <w:sz w:val="20"/>
              </w:rPr>
            </w:pPr>
            <w:r w:rsidRPr="00985DB7">
              <w:rPr>
                <w:rFonts w:ascii="Arial" w:eastAsia="Arial" w:hAnsi="Arial" w:cs="Arial"/>
                <w:b/>
                <w:color w:val="F79546"/>
                <w:position w:val="-1"/>
                <w:sz w:val="20"/>
                <w:lang w:val="en-GB" w:eastAsia="en-US"/>
              </w:rPr>
              <w:t>1.</w:t>
            </w:r>
            <w:r w:rsidRPr="00985DB7">
              <w:rPr>
                <w:rFonts w:ascii="Arial" w:eastAsia="Arial" w:hAnsi="Arial" w:cs="Arial"/>
                <w:b/>
                <w:color w:val="F79546"/>
                <w:position w:val="-1"/>
                <w:sz w:val="20"/>
                <w:lang w:val="en-GB" w:eastAsia="en-US"/>
              </w:rPr>
              <w:tab/>
              <w:t>Population Needs</w:t>
            </w:r>
          </w:p>
        </w:tc>
      </w:tr>
      <w:tr w:rsidR="00235D08" w:rsidRPr="00985DB7" w:rsidTr="009D096C">
        <w:tc>
          <w:tcPr>
            <w:tcW w:w="8414" w:type="dxa"/>
            <w:shd w:val="clear" w:color="auto" w:fill="auto"/>
          </w:tcPr>
          <w:p w:rsidR="00235D08" w:rsidRPr="00497181" w:rsidRDefault="00235D08" w:rsidP="009D096C">
            <w:pPr>
              <w:spacing w:after="0"/>
              <w:ind w:left="360"/>
              <w:rPr>
                <w:rFonts w:ascii="Arial" w:hAnsi="Arial" w:cs="Arial"/>
                <w:sz w:val="20"/>
              </w:rPr>
            </w:pPr>
          </w:p>
          <w:p w:rsidR="00235D08" w:rsidRPr="00497181" w:rsidRDefault="00235D08" w:rsidP="00235D08">
            <w:pPr>
              <w:numPr>
                <w:ilvl w:val="1"/>
                <w:numId w:val="2"/>
              </w:numPr>
              <w:spacing w:after="0"/>
              <w:rPr>
                <w:rFonts w:ascii="Arial" w:hAnsi="Arial" w:cs="Arial"/>
                <w:b/>
                <w:sz w:val="20"/>
              </w:rPr>
            </w:pPr>
            <w:r w:rsidRPr="00497181">
              <w:rPr>
                <w:rFonts w:ascii="Arial" w:hAnsi="Arial" w:cs="Arial"/>
                <w:b/>
                <w:sz w:val="20"/>
              </w:rPr>
              <w:tab/>
              <w:t>National/local context and evidence base</w:t>
            </w:r>
          </w:p>
          <w:p w:rsidR="00235D08" w:rsidRPr="00497181" w:rsidRDefault="00235D08" w:rsidP="009D096C">
            <w:pPr>
              <w:spacing w:after="0"/>
              <w:rPr>
                <w:rFonts w:ascii="Arial" w:hAnsi="Arial" w:cs="Arial"/>
                <w:sz w:val="20"/>
              </w:rPr>
            </w:pP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r w:rsidRPr="00497181">
              <w:rPr>
                <w:rFonts w:ascii="Arial" w:eastAsia="Calibri" w:hAnsi="Arial" w:cs="Arial"/>
                <w:color w:val="000000"/>
                <w:sz w:val="20"/>
                <w:lang w:val="en-GB" w:eastAsia="en-US"/>
              </w:rPr>
              <w:t>People with a Severe Mental Illness (SMI) face health inequalities and are less likely to have their physical health needs met, both in terms of identification of physical health concerns and delivery of appropriate, timely screening and treatment.</w:t>
            </w: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r w:rsidRPr="00497181">
              <w:rPr>
                <w:rFonts w:ascii="Arial" w:eastAsia="Calibri" w:hAnsi="Arial" w:cs="Arial"/>
                <w:color w:val="000000"/>
                <w:sz w:val="20"/>
                <w:lang w:val="en-GB" w:eastAsia="en-US"/>
              </w:rPr>
              <w:t>Compared to the general population, individuals with SMI (defined by those individuals with schizophrenia, psychosis or bipolar disorder):</w:t>
            </w:r>
          </w:p>
          <w:p w:rsidR="00497181" w:rsidRPr="00497181" w:rsidRDefault="008D5011" w:rsidP="00497181">
            <w:pPr>
              <w:pStyle w:val="ListParagraph"/>
              <w:numPr>
                <w:ilvl w:val="3"/>
                <w:numId w:val="21"/>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Face a shorter life expectancy by an average of 15–20 years.</w:t>
            </w:r>
          </w:p>
          <w:p w:rsidR="00497181" w:rsidRPr="00497181" w:rsidRDefault="008D5011" w:rsidP="008D5011">
            <w:pPr>
              <w:pStyle w:val="ListParagraph"/>
              <w:numPr>
                <w:ilvl w:val="0"/>
                <w:numId w:val="21"/>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Are three times more likely to smoke.</w:t>
            </w:r>
          </w:p>
          <w:p w:rsidR="008D5011" w:rsidRPr="00497181" w:rsidRDefault="008D5011" w:rsidP="008D5011">
            <w:pPr>
              <w:pStyle w:val="ListParagraph"/>
              <w:numPr>
                <w:ilvl w:val="0"/>
                <w:numId w:val="21"/>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Are at double the risk of obesity and diabetes, three times the risk of hypertension and metabolic syndrome, and five times the risk of dyslipidaemia (imbalance of lipids in the bloodstream).</w:t>
            </w: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r w:rsidRPr="00497181">
              <w:rPr>
                <w:rFonts w:ascii="Arial" w:eastAsia="Calibri" w:hAnsi="Arial" w:cs="Arial"/>
                <w:color w:val="000000"/>
                <w:sz w:val="20"/>
                <w:lang w:val="en-GB" w:eastAsia="en-US"/>
              </w:rPr>
              <w:t>The reasons for these inequalities are complex and include some of the following:-</w:t>
            </w:r>
          </w:p>
          <w:p w:rsidR="008D5011" w:rsidRPr="00497181" w:rsidRDefault="008D5011" w:rsidP="00497181">
            <w:pPr>
              <w:pStyle w:val="ListParagraph"/>
              <w:numPr>
                <w:ilvl w:val="0"/>
                <w:numId w:val="24"/>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 xml:space="preserve">Lifestyle behaviours </w:t>
            </w:r>
          </w:p>
          <w:p w:rsidR="008D5011" w:rsidRPr="00497181" w:rsidRDefault="008D5011" w:rsidP="00497181">
            <w:pPr>
              <w:pStyle w:val="ListParagraph"/>
              <w:numPr>
                <w:ilvl w:val="0"/>
                <w:numId w:val="24"/>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 xml:space="preserve">Complexities of the social isolation,  previous emotional traumas  and increased self-medication  and risk taking eg substance misuse </w:t>
            </w:r>
          </w:p>
          <w:p w:rsidR="008D5011" w:rsidRPr="00497181" w:rsidRDefault="008D5011" w:rsidP="00497181">
            <w:pPr>
              <w:pStyle w:val="ListParagraph"/>
              <w:numPr>
                <w:ilvl w:val="0"/>
                <w:numId w:val="24"/>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 xml:space="preserve">Side effects of medication </w:t>
            </w:r>
          </w:p>
          <w:p w:rsidR="008D5011" w:rsidRPr="00497181" w:rsidRDefault="008D5011" w:rsidP="00497181">
            <w:pPr>
              <w:pStyle w:val="ListParagraph"/>
              <w:numPr>
                <w:ilvl w:val="0"/>
                <w:numId w:val="24"/>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Lack of clarity and integration around responsibilities in healthcare provision in primary and secondary care.</w:t>
            </w:r>
          </w:p>
          <w:p w:rsidR="008D5011" w:rsidRPr="00497181" w:rsidRDefault="008D5011" w:rsidP="00497181">
            <w:pPr>
              <w:pStyle w:val="ListParagraph"/>
              <w:numPr>
                <w:ilvl w:val="0"/>
                <w:numId w:val="24"/>
              </w:numPr>
              <w:autoSpaceDE w:val="0"/>
              <w:autoSpaceDN w:val="0"/>
              <w:adjustRightInd w:val="0"/>
              <w:ind w:left="1310" w:hanging="284"/>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Poor uptake of training by primary care and secondary mental health clinicians around physical and mental health</w:t>
            </w:r>
          </w:p>
          <w:p w:rsidR="008D5011" w:rsidRPr="00497181" w:rsidRDefault="008D5011" w:rsidP="008D5011">
            <w:pPr>
              <w:autoSpaceDE w:val="0"/>
              <w:autoSpaceDN w:val="0"/>
              <w:adjustRightInd w:val="0"/>
              <w:spacing w:after="0"/>
              <w:rPr>
                <w:rFonts w:ascii="Arial" w:eastAsia="Calibri" w:hAnsi="Arial" w:cs="Arial"/>
                <w:color w:val="000000"/>
                <w:sz w:val="20"/>
                <w:lang w:val="en-GB" w:eastAsia="en-US"/>
              </w:rPr>
            </w:pPr>
          </w:p>
          <w:p w:rsidR="00703224" w:rsidRPr="00497181" w:rsidRDefault="009A2E24" w:rsidP="00703224">
            <w:pPr>
              <w:autoSpaceDE w:val="0"/>
              <w:autoSpaceDN w:val="0"/>
              <w:adjustRightInd w:val="0"/>
              <w:spacing w:after="0"/>
              <w:rPr>
                <w:rFonts w:ascii="Arial" w:eastAsia="Calibri" w:hAnsi="Arial" w:cs="Arial"/>
                <w:color w:val="000000"/>
                <w:sz w:val="20"/>
                <w:lang w:val="en-GB" w:eastAsia="en-US"/>
              </w:rPr>
            </w:pPr>
            <w:r>
              <w:rPr>
                <w:rFonts w:ascii="Arial" w:eastAsia="Calibri" w:hAnsi="Arial" w:cs="Arial"/>
                <w:color w:val="000000"/>
                <w:sz w:val="20"/>
                <w:lang w:val="en-GB" w:eastAsia="en-US"/>
              </w:rPr>
              <w:t>Telford &amp; Wrekin CCG</w:t>
            </w:r>
            <w:r w:rsidR="00703224" w:rsidRPr="00497181">
              <w:rPr>
                <w:rFonts w:ascii="Arial" w:eastAsia="Calibri" w:hAnsi="Arial" w:cs="Arial"/>
                <w:color w:val="000000"/>
                <w:sz w:val="20"/>
                <w:lang w:val="en-GB" w:eastAsia="en-US"/>
              </w:rPr>
              <w:t xml:space="preserve"> will ensure delivery of the nationally determined improvement areas as detailed within the Department of Health </w:t>
            </w:r>
            <w:r w:rsidR="00703224" w:rsidRPr="00497181">
              <w:rPr>
                <w:rFonts w:ascii="Arial" w:eastAsia="Calibri" w:hAnsi="Arial" w:cs="Arial"/>
                <w:i/>
                <w:iCs/>
                <w:color w:val="000000"/>
                <w:sz w:val="20"/>
                <w:lang w:val="en-GB" w:eastAsia="en-US"/>
              </w:rPr>
              <w:t xml:space="preserve">Our </w:t>
            </w:r>
            <w:r w:rsidR="00703224" w:rsidRPr="00497181">
              <w:rPr>
                <w:rFonts w:ascii="Arial" w:eastAsia="Calibri" w:hAnsi="Arial" w:cs="Arial"/>
                <w:i/>
                <w:color w:val="000000"/>
                <w:sz w:val="20"/>
                <w:lang w:val="en-GB" w:eastAsia="en-US"/>
              </w:rPr>
              <w:t>NHS Care Objectives 3 draft mandate</w:t>
            </w:r>
            <w:r w:rsidR="00703224" w:rsidRPr="00497181">
              <w:rPr>
                <w:rFonts w:ascii="Arial" w:eastAsia="Calibri" w:hAnsi="Arial" w:cs="Arial"/>
                <w:color w:val="000000"/>
                <w:sz w:val="20"/>
                <w:lang w:val="en-GB" w:eastAsia="en-US"/>
              </w:rPr>
              <w:t>; within the following five domains:</w:t>
            </w:r>
          </w:p>
          <w:p w:rsidR="00703224" w:rsidRPr="00497181" w:rsidRDefault="00703224" w:rsidP="00703224">
            <w:pPr>
              <w:autoSpaceDE w:val="0"/>
              <w:autoSpaceDN w:val="0"/>
              <w:adjustRightInd w:val="0"/>
              <w:spacing w:after="0"/>
              <w:rPr>
                <w:rFonts w:ascii="Arial" w:eastAsia="Calibri" w:hAnsi="Arial" w:cs="Arial"/>
                <w:color w:val="000000"/>
                <w:sz w:val="20"/>
                <w:lang w:val="en-GB" w:eastAsia="en-US"/>
              </w:rPr>
            </w:pPr>
          </w:p>
          <w:p w:rsidR="00703224" w:rsidRPr="00497181" w:rsidRDefault="00703224" w:rsidP="00703224">
            <w:pPr>
              <w:pStyle w:val="ListParagraph"/>
              <w:numPr>
                <w:ilvl w:val="0"/>
                <w:numId w:val="4"/>
              </w:numPr>
              <w:autoSpaceDE w:val="0"/>
              <w:autoSpaceDN w:val="0"/>
              <w:adjustRightInd w:val="0"/>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Preventing people from dying prematurely.</w:t>
            </w:r>
          </w:p>
          <w:p w:rsidR="00703224" w:rsidRPr="00497181" w:rsidRDefault="00703224" w:rsidP="00703224">
            <w:pPr>
              <w:pStyle w:val="ListParagraph"/>
              <w:numPr>
                <w:ilvl w:val="0"/>
                <w:numId w:val="4"/>
              </w:numPr>
              <w:autoSpaceDE w:val="0"/>
              <w:autoSpaceDN w:val="0"/>
              <w:adjustRightInd w:val="0"/>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Enhancing quality of life for people with long term condition.</w:t>
            </w:r>
          </w:p>
          <w:p w:rsidR="00703224" w:rsidRPr="00497181" w:rsidRDefault="00703224" w:rsidP="00703224">
            <w:pPr>
              <w:pStyle w:val="ListParagraph"/>
              <w:numPr>
                <w:ilvl w:val="0"/>
                <w:numId w:val="4"/>
              </w:numPr>
              <w:autoSpaceDE w:val="0"/>
              <w:autoSpaceDN w:val="0"/>
              <w:adjustRightInd w:val="0"/>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 xml:space="preserve">Helping people to recover from episodes of ill health or following injury. </w:t>
            </w:r>
          </w:p>
          <w:p w:rsidR="00703224" w:rsidRPr="00497181" w:rsidRDefault="00703224" w:rsidP="00703224">
            <w:pPr>
              <w:pStyle w:val="ListParagraph"/>
              <w:numPr>
                <w:ilvl w:val="0"/>
                <w:numId w:val="4"/>
              </w:numPr>
              <w:autoSpaceDE w:val="0"/>
              <w:autoSpaceDN w:val="0"/>
              <w:adjustRightInd w:val="0"/>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Ensuring people have a positive experience of care.</w:t>
            </w:r>
          </w:p>
          <w:p w:rsidR="00703224" w:rsidRPr="00497181" w:rsidRDefault="00703224" w:rsidP="00703224">
            <w:pPr>
              <w:pStyle w:val="ListParagraph"/>
              <w:numPr>
                <w:ilvl w:val="0"/>
                <w:numId w:val="4"/>
              </w:numPr>
              <w:autoSpaceDE w:val="0"/>
              <w:autoSpaceDN w:val="0"/>
              <w:adjustRightInd w:val="0"/>
              <w:rPr>
                <w:rFonts w:ascii="Arial" w:eastAsia="Calibri" w:hAnsi="Arial" w:cs="Arial"/>
                <w:color w:val="000000"/>
                <w:sz w:val="20"/>
                <w:szCs w:val="20"/>
                <w:lang w:eastAsia="en-US"/>
              </w:rPr>
            </w:pPr>
            <w:r w:rsidRPr="00497181">
              <w:rPr>
                <w:rFonts w:ascii="Arial" w:eastAsia="Calibri" w:hAnsi="Arial" w:cs="Arial"/>
                <w:color w:val="000000"/>
                <w:sz w:val="20"/>
                <w:szCs w:val="20"/>
                <w:lang w:eastAsia="en-US"/>
              </w:rPr>
              <w:t>Treating and caring for people in a safe environment and protecting them from avoidable harm.</w:t>
            </w:r>
          </w:p>
          <w:p w:rsidR="00703224" w:rsidRPr="00497181" w:rsidRDefault="00703224" w:rsidP="00703224">
            <w:pPr>
              <w:autoSpaceDE w:val="0"/>
              <w:autoSpaceDN w:val="0"/>
              <w:adjustRightInd w:val="0"/>
              <w:spacing w:after="0"/>
              <w:rPr>
                <w:rFonts w:ascii="Arial" w:eastAsia="Calibri" w:hAnsi="Arial" w:cs="Arial"/>
                <w:color w:val="000000"/>
                <w:sz w:val="20"/>
                <w:lang w:val="en-GB" w:eastAsia="en-US"/>
              </w:rPr>
            </w:pPr>
          </w:p>
          <w:p w:rsidR="00703224" w:rsidRPr="00497181" w:rsidRDefault="00703224" w:rsidP="00703224">
            <w:pPr>
              <w:autoSpaceDE w:val="0"/>
              <w:autoSpaceDN w:val="0"/>
              <w:adjustRightInd w:val="0"/>
              <w:spacing w:after="0"/>
              <w:rPr>
                <w:rFonts w:ascii="Arial" w:eastAsia="Calibri" w:hAnsi="Arial" w:cs="Arial"/>
                <w:color w:val="000000"/>
                <w:sz w:val="20"/>
                <w:lang w:val="en-GB" w:eastAsia="en-US"/>
              </w:rPr>
            </w:pPr>
            <w:r w:rsidRPr="00497181">
              <w:rPr>
                <w:rFonts w:ascii="Arial" w:eastAsia="Calibri" w:hAnsi="Arial" w:cs="Arial"/>
                <w:color w:val="000000"/>
                <w:sz w:val="20"/>
                <w:lang w:val="en-GB" w:eastAsia="en-US"/>
              </w:rPr>
              <w:t>Delivery of better health outcomes within these domains underpins the strategic priorities of the CCG. The CCG is also committed to the delivery of regionally mandated service improvements where they are shown to improve patient outcomes or reduce inequalities.</w:t>
            </w:r>
          </w:p>
          <w:p w:rsidR="005F5479" w:rsidRPr="00497181" w:rsidRDefault="005F5479" w:rsidP="00703224">
            <w:pPr>
              <w:autoSpaceDE w:val="0"/>
              <w:autoSpaceDN w:val="0"/>
              <w:adjustRightInd w:val="0"/>
              <w:spacing w:after="0"/>
              <w:rPr>
                <w:rFonts w:ascii="Arial" w:eastAsia="Calibri" w:hAnsi="Arial" w:cs="Arial"/>
                <w:sz w:val="20"/>
                <w:lang w:val="en-GB" w:eastAsia="en-US"/>
              </w:rPr>
            </w:pPr>
          </w:p>
          <w:p w:rsidR="00497181" w:rsidRPr="00497181" w:rsidRDefault="00497181" w:rsidP="00497181">
            <w:pPr>
              <w:rPr>
                <w:rFonts w:ascii="Arial" w:hAnsi="Arial" w:cs="Arial"/>
                <w:sz w:val="20"/>
              </w:rPr>
            </w:pPr>
            <w:r w:rsidRPr="00497181">
              <w:rPr>
                <w:rFonts w:ascii="Arial" w:hAnsi="Arial" w:cs="Arial"/>
                <w:sz w:val="20"/>
              </w:rPr>
              <w:t xml:space="preserve">The target for this service is to ensure that 60% of people on the SMI register have a full physical and mental health review annually and that this is recorded on the GP registers. In </w:t>
            </w:r>
            <w:r w:rsidR="009A2E24">
              <w:rPr>
                <w:rFonts w:ascii="Arial" w:hAnsi="Arial" w:cs="Arial"/>
                <w:sz w:val="20"/>
              </w:rPr>
              <w:t>Telford 1,630 pe</w:t>
            </w:r>
            <w:r w:rsidRPr="00497181">
              <w:rPr>
                <w:rFonts w:ascii="Arial" w:hAnsi="Arial" w:cs="Arial"/>
                <w:sz w:val="20"/>
              </w:rPr>
              <w:t>ople are on the SMI register.</w:t>
            </w:r>
          </w:p>
          <w:p w:rsidR="00497181" w:rsidRPr="00497181" w:rsidRDefault="00497181" w:rsidP="00703224">
            <w:pPr>
              <w:autoSpaceDE w:val="0"/>
              <w:autoSpaceDN w:val="0"/>
              <w:adjustRightInd w:val="0"/>
              <w:spacing w:after="0"/>
              <w:rPr>
                <w:rFonts w:ascii="Arial" w:eastAsia="Calibri" w:hAnsi="Arial" w:cs="Arial"/>
                <w:color w:val="000000"/>
                <w:sz w:val="20"/>
                <w:lang w:val="en-GB" w:eastAsia="en-US"/>
              </w:rPr>
            </w:pPr>
          </w:p>
          <w:p w:rsidR="002937AD" w:rsidRPr="00497181" w:rsidRDefault="002937AD" w:rsidP="00497181">
            <w:pPr>
              <w:autoSpaceDE w:val="0"/>
              <w:autoSpaceDN w:val="0"/>
              <w:adjustRightInd w:val="0"/>
              <w:spacing w:after="0"/>
              <w:rPr>
                <w:rFonts w:ascii="Arial" w:hAnsi="Arial" w:cs="Arial"/>
                <w:sz w:val="20"/>
              </w:rPr>
            </w:pPr>
          </w:p>
        </w:tc>
      </w:tr>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hAnsi="Arial" w:cs="Arial"/>
                <w:b/>
                <w:sz w:val="20"/>
              </w:rPr>
            </w:pPr>
            <w:r w:rsidRPr="00985DB7">
              <w:rPr>
                <w:rFonts w:ascii="Arial" w:eastAsia="Arial" w:hAnsi="Arial" w:cs="Arial"/>
                <w:b/>
                <w:color w:val="F79546"/>
                <w:position w:val="-1"/>
                <w:sz w:val="20"/>
                <w:lang w:val="en-GB" w:eastAsia="en-US"/>
              </w:rPr>
              <w:lastRenderedPageBreak/>
              <w:t>2.</w:t>
            </w:r>
            <w:r w:rsidRPr="00985DB7">
              <w:rPr>
                <w:rFonts w:ascii="Arial" w:eastAsia="Arial" w:hAnsi="Arial" w:cs="Arial"/>
                <w:b/>
                <w:color w:val="F79546"/>
                <w:position w:val="-1"/>
                <w:sz w:val="20"/>
                <w:lang w:val="en-GB" w:eastAsia="en-US"/>
              </w:rPr>
              <w:tab/>
              <w:t>Outcomes</w:t>
            </w:r>
          </w:p>
        </w:tc>
      </w:tr>
      <w:tr w:rsidR="00235D08" w:rsidRPr="00985DB7" w:rsidTr="009D096C">
        <w:tc>
          <w:tcPr>
            <w:tcW w:w="8414" w:type="dxa"/>
            <w:shd w:val="clear" w:color="auto" w:fill="auto"/>
          </w:tcPr>
          <w:p w:rsidR="00703224" w:rsidRPr="00985DB7" w:rsidRDefault="00703224" w:rsidP="009D096C">
            <w:pPr>
              <w:spacing w:after="0" w:line="276" w:lineRule="auto"/>
              <w:rPr>
                <w:rFonts w:ascii="Arial" w:hAnsi="Arial" w:cs="Arial"/>
                <w:b/>
                <w:sz w:val="20"/>
              </w:rPr>
            </w:pPr>
          </w:p>
          <w:p w:rsidR="00235D08" w:rsidRPr="00985DB7" w:rsidRDefault="00235D08" w:rsidP="009D096C">
            <w:pPr>
              <w:spacing w:after="0" w:line="276" w:lineRule="auto"/>
              <w:rPr>
                <w:rFonts w:ascii="Arial" w:hAnsi="Arial" w:cs="Arial"/>
                <w:b/>
                <w:sz w:val="20"/>
              </w:rPr>
            </w:pPr>
            <w:r w:rsidRPr="00985DB7">
              <w:rPr>
                <w:rFonts w:ascii="Arial" w:hAnsi="Arial" w:cs="Arial"/>
                <w:b/>
                <w:sz w:val="20"/>
              </w:rPr>
              <w:t>2.1</w:t>
            </w:r>
            <w:r w:rsidRPr="00985DB7">
              <w:rPr>
                <w:rFonts w:ascii="Arial" w:hAnsi="Arial" w:cs="Arial"/>
                <w:b/>
                <w:sz w:val="20"/>
              </w:rPr>
              <w:tab/>
            </w:r>
            <w:r w:rsidRPr="00985DB7">
              <w:rPr>
                <w:rFonts w:ascii="Arial" w:hAnsi="Arial" w:cs="Arial"/>
                <w:b/>
                <w:sz w:val="20"/>
                <w:u w:val="single"/>
              </w:rPr>
              <w:t>NHS Outcomes Framework Domains &amp; Indicators</w:t>
            </w:r>
          </w:p>
          <w:p w:rsidR="00235D08" w:rsidRPr="00985DB7" w:rsidRDefault="00235D08" w:rsidP="009D096C">
            <w:pPr>
              <w:spacing w:after="0" w:line="276" w:lineRule="auto"/>
              <w:rPr>
                <w:rFonts w:ascii="Arial" w:hAnsi="Arial" w:cs="Arial"/>
                <w:b/>
                <w:sz w:val="20"/>
              </w:rPr>
            </w:pPr>
          </w:p>
          <w:tbl>
            <w:tblPr>
              <w:tblStyle w:val="TableGrid"/>
              <w:tblW w:w="0" w:type="auto"/>
              <w:tblInd w:w="738" w:type="dxa"/>
              <w:tblLook w:val="04A0" w:firstRow="1" w:lastRow="0" w:firstColumn="1" w:lastColumn="0" w:noHBand="0" w:noVBand="1"/>
              <w:tblDescription w:val="NHS Outcomes Framework Domains &amp; Indicators"/>
            </w:tblPr>
            <w:tblGrid>
              <w:gridCol w:w="1276"/>
              <w:gridCol w:w="5528"/>
              <w:gridCol w:w="641"/>
            </w:tblGrid>
            <w:tr w:rsidR="00235D08" w:rsidRPr="00985DB7" w:rsidTr="00703224">
              <w:trPr>
                <w:tblHeader/>
              </w:trPr>
              <w:tc>
                <w:tcPr>
                  <w:tcW w:w="1276"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Domain 1</w:t>
                  </w:r>
                </w:p>
              </w:tc>
              <w:tc>
                <w:tcPr>
                  <w:tcW w:w="5528"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Preventing people from dying prematurely</w:t>
                  </w:r>
                </w:p>
              </w:tc>
              <w:tc>
                <w:tcPr>
                  <w:tcW w:w="641" w:type="dxa"/>
                  <w:vAlign w:val="center"/>
                </w:tcPr>
                <w:p w:rsidR="00235D08" w:rsidRPr="00985DB7" w:rsidRDefault="00703224" w:rsidP="00703224">
                  <w:pPr>
                    <w:spacing w:line="276" w:lineRule="auto"/>
                    <w:jc w:val="center"/>
                    <w:rPr>
                      <w:rFonts w:ascii="Arial" w:hAnsi="Arial" w:cs="Arial"/>
                      <w:b/>
                      <w:sz w:val="20"/>
                    </w:rPr>
                  </w:pPr>
                  <w:r w:rsidRPr="00985DB7">
                    <w:rPr>
                      <w:rFonts w:ascii="Arial" w:hAnsi="Arial" w:cs="Arial"/>
                      <w:b/>
                      <w:sz w:val="20"/>
                    </w:rPr>
                    <w:t>X</w:t>
                  </w:r>
                </w:p>
                <w:p w:rsidR="00703224" w:rsidRPr="00985DB7" w:rsidRDefault="00703224" w:rsidP="00703224">
                  <w:pPr>
                    <w:spacing w:line="276" w:lineRule="auto"/>
                    <w:jc w:val="center"/>
                    <w:rPr>
                      <w:rFonts w:ascii="Arial" w:hAnsi="Arial" w:cs="Arial"/>
                      <w:b/>
                      <w:sz w:val="20"/>
                    </w:rPr>
                  </w:pPr>
                </w:p>
              </w:tc>
            </w:tr>
            <w:tr w:rsidR="00235D08" w:rsidRPr="00985DB7" w:rsidTr="00703224">
              <w:tc>
                <w:tcPr>
                  <w:tcW w:w="1276"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Domain 2</w:t>
                  </w:r>
                </w:p>
              </w:tc>
              <w:tc>
                <w:tcPr>
                  <w:tcW w:w="5528"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Enhancing quality of life for people with long-term conditions</w:t>
                  </w:r>
                </w:p>
              </w:tc>
              <w:tc>
                <w:tcPr>
                  <w:tcW w:w="641" w:type="dxa"/>
                  <w:vAlign w:val="center"/>
                </w:tcPr>
                <w:p w:rsidR="00E24B8C" w:rsidRPr="00985DB7" w:rsidRDefault="00703224" w:rsidP="00703224">
                  <w:pPr>
                    <w:jc w:val="center"/>
                    <w:rPr>
                      <w:rFonts w:ascii="Arial" w:hAnsi="Arial" w:cs="Arial"/>
                      <w:b/>
                      <w:sz w:val="20"/>
                    </w:rPr>
                  </w:pPr>
                  <w:r w:rsidRPr="00985DB7">
                    <w:rPr>
                      <w:rFonts w:ascii="Arial" w:hAnsi="Arial" w:cs="Arial"/>
                      <w:b/>
                      <w:sz w:val="20"/>
                    </w:rPr>
                    <w:t>X</w:t>
                  </w:r>
                </w:p>
              </w:tc>
            </w:tr>
            <w:tr w:rsidR="00235D08" w:rsidRPr="00985DB7" w:rsidTr="00703224">
              <w:tc>
                <w:tcPr>
                  <w:tcW w:w="1276"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Domain 3</w:t>
                  </w:r>
                </w:p>
              </w:tc>
              <w:tc>
                <w:tcPr>
                  <w:tcW w:w="5528"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Helping people to recover from episodes of ill-health or following injury</w:t>
                  </w:r>
                </w:p>
              </w:tc>
              <w:tc>
                <w:tcPr>
                  <w:tcW w:w="641" w:type="dxa"/>
                  <w:vAlign w:val="center"/>
                </w:tcPr>
                <w:p w:rsidR="00235D08" w:rsidRPr="00985DB7" w:rsidRDefault="00703224" w:rsidP="00703224">
                  <w:pPr>
                    <w:jc w:val="center"/>
                    <w:rPr>
                      <w:rFonts w:ascii="Arial" w:hAnsi="Arial" w:cs="Arial"/>
                      <w:b/>
                      <w:sz w:val="20"/>
                    </w:rPr>
                  </w:pPr>
                  <w:r w:rsidRPr="00985DB7">
                    <w:rPr>
                      <w:rFonts w:ascii="Arial" w:hAnsi="Arial" w:cs="Arial"/>
                      <w:b/>
                      <w:sz w:val="20"/>
                    </w:rPr>
                    <w:t>X</w:t>
                  </w:r>
                </w:p>
              </w:tc>
            </w:tr>
            <w:tr w:rsidR="00235D08" w:rsidRPr="00985DB7" w:rsidTr="00703224">
              <w:tc>
                <w:tcPr>
                  <w:tcW w:w="1276"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Domain 4</w:t>
                  </w:r>
                </w:p>
              </w:tc>
              <w:tc>
                <w:tcPr>
                  <w:tcW w:w="5528"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Ensuring people have a positive experience of care</w:t>
                  </w:r>
                </w:p>
              </w:tc>
              <w:tc>
                <w:tcPr>
                  <w:tcW w:w="641" w:type="dxa"/>
                  <w:vAlign w:val="center"/>
                </w:tcPr>
                <w:p w:rsidR="00235D08" w:rsidRPr="00985DB7" w:rsidRDefault="00703224" w:rsidP="00703224">
                  <w:pPr>
                    <w:jc w:val="center"/>
                    <w:rPr>
                      <w:rFonts w:ascii="Arial" w:hAnsi="Arial" w:cs="Arial"/>
                      <w:b/>
                      <w:sz w:val="20"/>
                    </w:rPr>
                  </w:pPr>
                  <w:r w:rsidRPr="00985DB7">
                    <w:rPr>
                      <w:rFonts w:ascii="Arial" w:hAnsi="Arial" w:cs="Arial"/>
                      <w:b/>
                      <w:sz w:val="20"/>
                    </w:rPr>
                    <w:t>X</w:t>
                  </w:r>
                </w:p>
              </w:tc>
            </w:tr>
            <w:tr w:rsidR="00235D08" w:rsidRPr="00985DB7" w:rsidTr="00703224">
              <w:tc>
                <w:tcPr>
                  <w:tcW w:w="1276"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Domain 5</w:t>
                  </w:r>
                </w:p>
              </w:tc>
              <w:tc>
                <w:tcPr>
                  <w:tcW w:w="5528" w:type="dxa"/>
                </w:tcPr>
                <w:p w:rsidR="00235D08" w:rsidRPr="00985DB7" w:rsidRDefault="00235D08" w:rsidP="009D096C">
                  <w:pPr>
                    <w:spacing w:line="276" w:lineRule="auto"/>
                    <w:rPr>
                      <w:rFonts w:ascii="Arial" w:hAnsi="Arial" w:cs="Arial"/>
                      <w:b/>
                      <w:sz w:val="20"/>
                    </w:rPr>
                  </w:pPr>
                  <w:r w:rsidRPr="00985DB7">
                    <w:rPr>
                      <w:rFonts w:ascii="Arial" w:hAnsi="Arial" w:cs="Arial"/>
                      <w:b/>
                      <w:sz w:val="20"/>
                    </w:rPr>
                    <w:t>Treating and caring for people in safe environment and protecting them from avoidable harm</w:t>
                  </w:r>
                </w:p>
              </w:tc>
              <w:tc>
                <w:tcPr>
                  <w:tcW w:w="641" w:type="dxa"/>
                  <w:vAlign w:val="center"/>
                </w:tcPr>
                <w:p w:rsidR="00235D08" w:rsidRPr="00985DB7" w:rsidRDefault="00703224" w:rsidP="00703224">
                  <w:pPr>
                    <w:jc w:val="center"/>
                    <w:rPr>
                      <w:rFonts w:ascii="Arial" w:hAnsi="Arial" w:cs="Arial"/>
                      <w:b/>
                      <w:sz w:val="20"/>
                    </w:rPr>
                  </w:pPr>
                  <w:r w:rsidRPr="00985DB7">
                    <w:rPr>
                      <w:rFonts w:ascii="Arial" w:hAnsi="Arial" w:cs="Arial"/>
                      <w:b/>
                      <w:sz w:val="20"/>
                    </w:rPr>
                    <w:t>X</w:t>
                  </w:r>
                </w:p>
              </w:tc>
            </w:tr>
          </w:tbl>
          <w:p w:rsidR="00235D08" w:rsidRPr="00985DB7" w:rsidRDefault="00235D08" w:rsidP="009D096C">
            <w:pPr>
              <w:spacing w:after="0" w:line="276" w:lineRule="auto"/>
              <w:rPr>
                <w:rFonts w:ascii="Arial" w:hAnsi="Arial" w:cs="Arial"/>
                <w:b/>
                <w:sz w:val="20"/>
              </w:rPr>
            </w:pPr>
          </w:p>
          <w:p w:rsidR="0000674D" w:rsidRDefault="00235D08" w:rsidP="009D096C">
            <w:pPr>
              <w:spacing w:after="0" w:line="276" w:lineRule="auto"/>
              <w:rPr>
                <w:rFonts w:ascii="Arial" w:hAnsi="Arial" w:cs="Arial"/>
                <w:b/>
                <w:sz w:val="20"/>
              </w:rPr>
            </w:pPr>
            <w:r w:rsidRPr="00985DB7">
              <w:rPr>
                <w:rFonts w:ascii="Arial" w:hAnsi="Arial" w:cs="Arial"/>
                <w:b/>
                <w:sz w:val="20"/>
              </w:rPr>
              <w:t>2.2</w:t>
            </w:r>
            <w:r w:rsidRPr="00985DB7">
              <w:rPr>
                <w:rFonts w:ascii="Arial" w:hAnsi="Arial" w:cs="Arial"/>
                <w:b/>
                <w:sz w:val="20"/>
              </w:rPr>
              <w:tab/>
              <w:t>Local defined outcomes</w:t>
            </w:r>
            <w:r w:rsidR="0000674D">
              <w:t xml:space="preserve"> </w:t>
            </w:r>
          </w:p>
          <w:p w:rsidR="00235D08" w:rsidRDefault="0000674D" w:rsidP="009D096C">
            <w:pPr>
              <w:spacing w:after="0" w:line="276" w:lineRule="auto"/>
              <w:rPr>
                <w:rFonts w:ascii="Arial" w:hAnsi="Arial" w:cs="Arial"/>
                <w:b/>
                <w:sz w:val="20"/>
              </w:rPr>
            </w:pPr>
            <w:r>
              <w:rPr>
                <w:rFonts w:ascii="Arial" w:hAnsi="Arial" w:cs="Arial"/>
                <w:b/>
                <w:sz w:val="20"/>
              </w:rPr>
              <w:t xml:space="preserve">Minimum of </w:t>
            </w:r>
            <w:r w:rsidRPr="0000674D">
              <w:rPr>
                <w:rFonts w:ascii="Arial" w:hAnsi="Arial" w:cs="Arial"/>
                <w:b/>
                <w:sz w:val="20"/>
              </w:rPr>
              <w:t>60% of people on the SMI register have a full physical and mental health review annually and that this is recorded on the GP registers</w:t>
            </w:r>
            <w:r>
              <w:rPr>
                <w:rFonts w:ascii="Arial" w:hAnsi="Arial" w:cs="Arial"/>
                <w:b/>
                <w:sz w:val="20"/>
              </w:rPr>
              <w:t xml:space="preserve"> as part of improving the physical health of individuals with ser</w:t>
            </w:r>
            <w:r w:rsidR="00FA3F5C">
              <w:rPr>
                <w:rFonts w:ascii="Arial" w:hAnsi="Arial" w:cs="Arial"/>
                <w:b/>
                <w:sz w:val="20"/>
              </w:rPr>
              <w:t>v</w:t>
            </w:r>
            <w:r>
              <w:rPr>
                <w:rFonts w:ascii="Arial" w:hAnsi="Arial" w:cs="Arial"/>
                <w:b/>
                <w:sz w:val="20"/>
              </w:rPr>
              <w:t>e and enduring mental health problems.</w:t>
            </w:r>
          </w:p>
          <w:p w:rsidR="002937AD" w:rsidRPr="00FA3F5C" w:rsidRDefault="002937AD" w:rsidP="00FA3F5C">
            <w:pPr>
              <w:rPr>
                <w:rFonts w:ascii="Arial" w:hAnsi="Arial" w:cs="Arial"/>
                <w:sz w:val="20"/>
              </w:rPr>
            </w:pPr>
          </w:p>
        </w:tc>
      </w:tr>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hAnsi="Arial" w:cs="Arial"/>
                <w:b/>
                <w:sz w:val="20"/>
              </w:rPr>
            </w:pPr>
            <w:r w:rsidRPr="00985DB7">
              <w:rPr>
                <w:rFonts w:ascii="Arial" w:eastAsia="Arial" w:hAnsi="Arial" w:cs="Arial"/>
                <w:b/>
                <w:color w:val="F79546"/>
                <w:position w:val="-1"/>
                <w:sz w:val="20"/>
                <w:lang w:val="en-GB" w:eastAsia="en-US"/>
              </w:rPr>
              <w:t>3.</w:t>
            </w:r>
            <w:r w:rsidRPr="00985DB7">
              <w:rPr>
                <w:rFonts w:ascii="Arial" w:eastAsia="Arial" w:hAnsi="Arial" w:cs="Arial"/>
                <w:b/>
                <w:color w:val="F79546"/>
                <w:position w:val="-1"/>
                <w:sz w:val="20"/>
                <w:lang w:val="en-GB" w:eastAsia="en-US"/>
              </w:rPr>
              <w:tab/>
              <w:t>Scope</w:t>
            </w:r>
          </w:p>
        </w:tc>
      </w:tr>
      <w:tr w:rsidR="00235D08" w:rsidRPr="00985DB7" w:rsidTr="009D096C">
        <w:tc>
          <w:tcPr>
            <w:tcW w:w="8414" w:type="dxa"/>
            <w:shd w:val="clear" w:color="auto" w:fill="auto"/>
          </w:tcPr>
          <w:p w:rsidR="00235D08" w:rsidRPr="00985DB7" w:rsidRDefault="00235D08" w:rsidP="009D096C">
            <w:pPr>
              <w:spacing w:after="0"/>
              <w:rPr>
                <w:rFonts w:ascii="Arial" w:hAnsi="Arial" w:cs="Arial"/>
                <w:sz w:val="20"/>
              </w:rPr>
            </w:pPr>
          </w:p>
          <w:p w:rsidR="00235D08" w:rsidRPr="00985DB7" w:rsidRDefault="00235D08" w:rsidP="009D096C">
            <w:pPr>
              <w:spacing w:after="0"/>
              <w:rPr>
                <w:rFonts w:ascii="Arial" w:hAnsi="Arial" w:cs="Arial"/>
                <w:b/>
                <w:sz w:val="20"/>
              </w:rPr>
            </w:pPr>
            <w:r w:rsidRPr="00985DB7">
              <w:rPr>
                <w:rFonts w:ascii="Arial" w:hAnsi="Arial" w:cs="Arial"/>
                <w:b/>
                <w:sz w:val="20"/>
              </w:rPr>
              <w:t>3.1</w:t>
            </w:r>
            <w:r w:rsidRPr="00985DB7">
              <w:rPr>
                <w:rFonts w:ascii="Arial" w:hAnsi="Arial" w:cs="Arial"/>
                <w:b/>
                <w:sz w:val="20"/>
              </w:rPr>
              <w:tab/>
              <w:t>Aims and objectives of service</w:t>
            </w:r>
          </w:p>
          <w:p w:rsidR="00235D08" w:rsidRPr="00985DB7" w:rsidRDefault="00235D08" w:rsidP="002937AD">
            <w:pPr>
              <w:spacing w:after="0"/>
              <w:rPr>
                <w:rFonts w:ascii="Arial" w:hAnsi="Arial" w:cs="Arial"/>
                <w:sz w:val="20"/>
              </w:rPr>
            </w:pPr>
          </w:p>
          <w:p w:rsidR="005F5479" w:rsidRPr="00985DB7" w:rsidRDefault="005F5479" w:rsidP="00141F0D">
            <w:pPr>
              <w:spacing w:after="0"/>
              <w:rPr>
                <w:rFonts w:ascii="Arial" w:hAnsi="Arial" w:cs="Arial"/>
                <w:sz w:val="20"/>
              </w:rPr>
            </w:pPr>
            <w:r w:rsidRPr="00985DB7">
              <w:rPr>
                <w:rFonts w:ascii="Arial" w:hAnsi="Arial" w:cs="Arial"/>
                <w:sz w:val="20"/>
              </w:rPr>
              <w:t>The CCG is commissioning a service for the enhanced Case Management of patients on the SMI QOF register. This includes patients who are under secondary care where GPs are actively involved in their care and those under the sole care of their GP</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Provide proactive case management for these patients, supported by an Annual Health</w:t>
            </w:r>
            <w:r w:rsidR="00FA3F5C">
              <w:rPr>
                <w:rFonts w:ascii="Arial" w:hAnsi="Arial" w:cs="Arial"/>
                <w:sz w:val="20"/>
              </w:rPr>
              <w:t xml:space="preserve"> </w:t>
            </w:r>
            <w:r w:rsidRPr="00985DB7">
              <w:rPr>
                <w:rFonts w:ascii="Arial" w:hAnsi="Arial" w:cs="Arial"/>
                <w:sz w:val="20"/>
              </w:rPr>
              <w:t xml:space="preserve">check.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Ensure that the patient benefits from high quality care, delivered as close to their home as appropriate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Prevent or reduce unnecessary referrals and admissions to specialist services and Secondary Care. </w:t>
            </w:r>
          </w:p>
          <w:p w:rsidR="005F5479" w:rsidRPr="00985DB7" w:rsidRDefault="005F5479" w:rsidP="00141F0D">
            <w:pPr>
              <w:spacing w:after="0"/>
              <w:rPr>
                <w:rFonts w:ascii="Arial" w:hAnsi="Arial" w:cs="Arial"/>
                <w:sz w:val="20"/>
              </w:rPr>
            </w:pPr>
          </w:p>
          <w:p w:rsidR="00141F0D" w:rsidRPr="00985DB7" w:rsidRDefault="005F5479" w:rsidP="00141F0D">
            <w:pPr>
              <w:spacing w:after="0"/>
              <w:rPr>
                <w:rFonts w:ascii="Arial" w:hAnsi="Arial" w:cs="Arial"/>
                <w:sz w:val="20"/>
              </w:rPr>
            </w:pPr>
            <w:r w:rsidRPr="00985DB7">
              <w:rPr>
                <w:rFonts w:ascii="Arial" w:hAnsi="Arial" w:cs="Arial"/>
                <w:sz w:val="20"/>
              </w:rPr>
              <w:t xml:space="preserve">This service is in addition to those services that GMS, PMS and APMS providers are contracted to provide to their registered patients. The specification of this service is designed to cover the enhanced aspects of clinical care of the patient, which are considered beyond the scope of essential services and additional services within the GMS, PMS and APMS contract. </w:t>
            </w:r>
          </w:p>
          <w:p w:rsidR="005F5479" w:rsidRPr="00985DB7" w:rsidRDefault="005F5479" w:rsidP="00141F0D">
            <w:pPr>
              <w:spacing w:after="0"/>
              <w:rPr>
                <w:rFonts w:ascii="Arial" w:hAnsi="Arial" w:cs="Arial"/>
                <w:sz w:val="20"/>
              </w:rPr>
            </w:pPr>
          </w:p>
          <w:p w:rsidR="00141F0D" w:rsidRPr="00985DB7" w:rsidRDefault="00141F0D" w:rsidP="00141F0D">
            <w:pPr>
              <w:spacing w:after="0"/>
              <w:rPr>
                <w:rFonts w:ascii="Arial" w:hAnsi="Arial" w:cs="Arial"/>
                <w:b/>
                <w:sz w:val="20"/>
              </w:rPr>
            </w:pPr>
            <w:r w:rsidRPr="00985DB7">
              <w:rPr>
                <w:rFonts w:ascii="Arial" w:hAnsi="Arial" w:cs="Arial"/>
                <w:b/>
                <w:sz w:val="20"/>
              </w:rPr>
              <w:t>3.2      Service description/care pathway</w:t>
            </w:r>
          </w:p>
          <w:p w:rsidR="00141F0D" w:rsidRPr="00985DB7" w:rsidRDefault="00141F0D" w:rsidP="002937AD">
            <w:pPr>
              <w:spacing w:after="0"/>
              <w:rPr>
                <w:rFonts w:ascii="Arial" w:hAnsi="Arial" w:cs="Arial"/>
                <w:sz w:val="20"/>
              </w:rPr>
            </w:pPr>
          </w:p>
          <w:p w:rsidR="005F5479" w:rsidRPr="002F74E5" w:rsidRDefault="00985DB7" w:rsidP="002937AD">
            <w:pPr>
              <w:spacing w:after="0"/>
              <w:rPr>
                <w:rFonts w:ascii="Arial" w:hAnsi="Arial" w:cs="Arial"/>
                <w:b/>
                <w:sz w:val="20"/>
              </w:rPr>
            </w:pPr>
            <w:r w:rsidRPr="002F74E5">
              <w:rPr>
                <w:rFonts w:ascii="Arial" w:hAnsi="Arial" w:cs="Arial"/>
                <w:b/>
                <w:sz w:val="20"/>
              </w:rPr>
              <w:t xml:space="preserve">3.2.1 </w:t>
            </w:r>
            <w:r w:rsidR="002F74E5">
              <w:rPr>
                <w:rFonts w:ascii="Arial" w:hAnsi="Arial" w:cs="Arial"/>
                <w:b/>
                <w:sz w:val="20"/>
              </w:rPr>
              <w:t xml:space="preserve">  Case Finding</w:t>
            </w:r>
            <w:r w:rsidR="005F5479" w:rsidRPr="002F74E5">
              <w:rPr>
                <w:rFonts w:ascii="Arial" w:hAnsi="Arial" w:cs="Arial"/>
                <w:b/>
                <w:sz w:val="20"/>
              </w:rPr>
              <w:t xml:space="preserve"> </w:t>
            </w:r>
          </w:p>
          <w:p w:rsidR="005F5479" w:rsidRPr="00985DB7" w:rsidRDefault="005F5479" w:rsidP="002937AD">
            <w:pPr>
              <w:spacing w:after="0"/>
              <w:rPr>
                <w:rFonts w:ascii="Arial" w:hAnsi="Arial" w:cs="Arial"/>
                <w:sz w:val="20"/>
              </w:rPr>
            </w:pPr>
          </w:p>
          <w:p w:rsidR="005F5479" w:rsidRPr="00985DB7" w:rsidRDefault="005F5479" w:rsidP="002937AD">
            <w:pPr>
              <w:spacing w:after="0"/>
              <w:rPr>
                <w:rFonts w:ascii="Arial" w:hAnsi="Arial" w:cs="Arial"/>
                <w:sz w:val="20"/>
              </w:rPr>
            </w:pPr>
            <w:r w:rsidRPr="00985DB7">
              <w:rPr>
                <w:rFonts w:ascii="Arial" w:hAnsi="Arial" w:cs="Arial"/>
                <w:sz w:val="20"/>
              </w:rPr>
              <w:t xml:space="preserve">The service provider will: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Update their SMI </w:t>
            </w:r>
            <w:r w:rsidR="00347E53">
              <w:rPr>
                <w:rFonts w:ascii="Arial" w:hAnsi="Arial" w:cs="Arial"/>
                <w:sz w:val="20"/>
              </w:rPr>
              <w:t>register</w:t>
            </w:r>
            <w:r w:rsidRPr="00985DB7">
              <w:rPr>
                <w:rFonts w:ascii="Arial" w:hAnsi="Arial" w:cs="Arial"/>
                <w:sz w:val="20"/>
              </w:rPr>
              <w:t xml:space="preserve"> and proactively invite the patients on the reviewed list for an Annual Health review. </w:t>
            </w:r>
            <w:r w:rsidR="00347E53">
              <w:rPr>
                <w:rFonts w:ascii="Arial" w:hAnsi="Arial" w:cs="Arial"/>
                <w:sz w:val="20"/>
              </w:rPr>
              <w:t xml:space="preserve">With your permission the CCG Data Quality team have undertaken a search of your baseline within EMIS which is available to you to use.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Identify patients with SMI on a case by case basis i.e. as patients present to the Practice</w:t>
            </w:r>
            <w:r w:rsidR="0049014D">
              <w:rPr>
                <w:rFonts w:ascii="Arial" w:hAnsi="Arial" w:cs="Arial"/>
                <w:sz w:val="20"/>
              </w:rPr>
              <w:t xml:space="preserve">. </w:t>
            </w:r>
            <w:r w:rsidR="0049014D" w:rsidRPr="0049014D">
              <w:rPr>
                <w:rFonts w:ascii="Arial" w:hAnsi="Arial" w:cs="Arial"/>
                <w:sz w:val="20"/>
              </w:rPr>
              <w:t>Cross referencing where necessary with MPFT to ensure that all patients are captured in the appropriate setting.</w:t>
            </w:r>
          </w:p>
          <w:p w:rsidR="005F5479" w:rsidRPr="00985DB7" w:rsidRDefault="0049014D" w:rsidP="002F74E5">
            <w:pPr>
              <w:spacing w:after="0"/>
              <w:ind w:left="885" w:hanging="142"/>
              <w:rPr>
                <w:rFonts w:ascii="Arial" w:hAnsi="Arial" w:cs="Arial"/>
                <w:sz w:val="20"/>
              </w:rPr>
            </w:pPr>
            <w:r>
              <w:rPr>
                <w:rFonts w:ascii="Arial" w:hAnsi="Arial" w:cs="Arial"/>
                <w:sz w:val="20"/>
              </w:rPr>
              <w:t xml:space="preserve"> </w:t>
            </w:r>
          </w:p>
          <w:p w:rsidR="002F74E5" w:rsidRDefault="00985DB7" w:rsidP="002937AD">
            <w:pPr>
              <w:spacing w:after="0"/>
              <w:rPr>
                <w:rFonts w:ascii="Arial" w:hAnsi="Arial" w:cs="Arial"/>
                <w:sz w:val="20"/>
              </w:rPr>
            </w:pPr>
            <w:r w:rsidRPr="002F74E5">
              <w:rPr>
                <w:rFonts w:ascii="Arial" w:hAnsi="Arial" w:cs="Arial"/>
                <w:b/>
                <w:sz w:val="20"/>
              </w:rPr>
              <w:t xml:space="preserve">3.2.2 </w:t>
            </w:r>
            <w:r w:rsidR="002F74E5">
              <w:rPr>
                <w:rFonts w:ascii="Arial" w:hAnsi="Arial" w:cs="Arial"/>
                <w:b/>
                <w:sz w:val="20"/>
              </w:rPr>
              <w:t xml:space="preserve">  Proactive Case Management</w:t>
            </w:r>
            <w:r w:rsidR="005F5479" w:rsidRPr="00985DB7">
              <w:rPr>
                <w:rFonts w:ascii="Arial" w:hAnsi="Arial" w:cs="Arial"/>
                <w:sz w:val="20"/>
              </w:rPr>
              <w:t xml:space="preserve"> </w:t>
            </w:r>
          </w:p>
          <w:p w:rsidR="002F74E5" w:rsidRDefault="002F74E5" w:rsidP="002937AD">
            <w:pPr>
              <w:spacing w:after="0"/>
              <w:rPr>
                <w:rFonts w:ascii="Arial" w:hAnsi="Arial" w:cs="Arial"/>
                <w:sz w:val="20"/>
              </w:rPr>
            </w:pPr>
          </w:p>
          <w:p w:rsidR="005F5479" w:rsidRPr="00985DB7" w:rsidRDefault="005F5479" w:rsidP="002937AD">
            <w:pPr>
              <w:spacing w:after="0"/>
              <w:rPr>
                <w:rFonts w:ascii="Arial" w:hAnsi="Arial" w:cs="Arial"/>
                <w:sz w:val="20"/>
              </w:rPr>
            </w:pPr>
            <w:r w:rsidRPr="00985DB7">
              <w:rPr>
                <w:rFonts w:ascii="Arial" w:hAnsi="Arial" w:cs="Arial"/>
                <w:sz w:val="20"/>
              </w:rPr>
              <w:t xml:space="preserve">The service provider will: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Carry out an Annual </w:t>
            </w:r>
            <w:r w:rsidR="0049014D">
              <w:rPr>
                <w:rFonts w:ascii="Arial" w:hAnsi="Arial" w:cs="Arial"/>
                <w:sz w:val="20"/>
              </w:rPr>
              <w:t xml:space="preserve">Physical </w:t>
            </w:r>
            <w:r w:rsidR="003607A2">
              <w:rPr>
                <w:rFonts w:ascii="Arial" w:hAnsi="Arial" w:cs="Arial"/>
                <w:sz w:val="20"/>
              </w:rPr>
              <w:t>Health Review</w:t>
            </w:r>
            <w:r w:rsidRPr="00985DB7">
              <w:rPr>
                <w:rFonts w:ascii="Arial" w:hAnsi="Arial" w:cs="Arial"/>
                <w:sz w:val="20"/>
              </w:rPr>
              <w:t xml:space="preserve"> resulting in a Care Plan that is given </w:t>
            </w:r>
            <w:r w:rsidRPr="00985DB7">
              <w:rPr>
                <w:rFonts w:ascii="Arial" w:hAnsi="Arial" w:cs="Arial"/>
                <w:sz w:val="20"/>
              </w:rPr>
              <w:lastRenderedPageBreak/>
              <w:t xml:space="preserve">to the patient. </w:t>
            </w:r>
          </w:p>
          <w:p w:rsidR="005F5479" w:rsidRPr="00985DB7" w:rsidRDefault="005F5479"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Offer </w:t>
            </w:r>
            <w:r w:rsidR="003607A2">
              <w:rPr>
                <w:rFonts w:ascii="Arial" w:hAnsi="Arial" w:cs="Arial"/>
                <w:sz w:val="20"/>
              </w:rPr>
              <w:t xml:space="preserve">- </w:t>
            </w:r>
            <w:r w:rsidRPr="00985DB7">
              <w:rPr>
                <w:rFonts w:ascii="Arial" w:hAnsi="Arial" w:cs="Arial"/>
                <w:sz w:val="20"/>
              </w:rPr>
              <w:t xml:space="preserve">to review progress and make adjustments against the plan where necessary. </w:t>
            </w:r>
          </w:p>
          <w:p w:rsidR="00347E53" w:rsidRPr="00347E53" w:rsidRDefault="005F5479" w:rsidP="00347E53">
            <w:pPr>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w:t>
            </w:r>
            <w:r w:rsidRPr="00347E53">
              <w:rPr>
                <w:rFonts w:ascii="Arial" w:hAnsi="Arial" w:cs="Arial"/>
                <w:sz w:val="20"/>
              </w:rPr>
              <w:t>Undertake all required prescribing, monitoring, administration and annual review of medication, including depot, as appropriate.</w:t>
            </w:r>
            <w:r w:rsidR="00347E53" w:rsidRPr="00347E53">
              <w:rPr>
                <w:rFonts w:ascii="Arial" w:hAnsi="Arial" w:cs="Arial"/>
                <w:sz w:val="20"/>
              </w:rPr>
              <w:t xml:space="preserve"> The CCG’s Medicines Management Team are able to advise around any medicines management implications, and to clarify any relevant mental health pathways.</w:t>
            </w:r>
          </w:p>
          <w:p w:rsidR="00985DB7" w:rsidRDefault="00985DB7" w:rsidP="002937AD">
            <w:pPr>
              <w:spacing w:after="0"/>
              <w:rPr>
                <w:rFonts w:ascii="Arial" w:hAnsi="Arial" w:cs="Arial"/>
                <w:sz w:val="20"/>
              </w:rPr>
            </w:pPr>
            <w:r w:rsidRPr="00985DB7">
              <w:rPr>
                <w:rFonts w:ascii="Arial" w:hAnsi="Arial" w:cs="Arial"/>
                <w:sz w:val="20"/>
              </w:rPr>
              <w:t xml:space="preserve">Appointment Guidance Notes: </w:t>
            </w:r>
          </w:p>
          <w:p w:rsidR="00510D30" w:rsidRDefault="00985DB7" w:rsidP="002F74E5">
            <w:pPr>
              <w:spacing w:after="0"/>
              <w:ind w:left="885" w:hanging="142"/>
              <w:rPr>
                <w:rFonts w:ascii="Arial" w:hAnsi="Arial" w:cs="Arial"/>
                <w:sz w:val="20"/>
              </w:rPr>
            </w:pPr>
            <w:r w:rsidRPr="00985DB7">
              <w:rPr>
                <w:rFonts w:ascii="Arial" w:hAnsi="Arial" w:cs="Arial"/>
                <w:sz w:val="20"/>
              </w:rPr>
              <w:sym w:font="Symbol" w:char="F0B7"/>
            </w:r>
            <w:r w:rsidR="00510D30">
              <w:rPr>
                <w:rFonts w:ascii="Arial" w:hAnsi="Arial" w:cs="Arial"/>
                <w:sz w:val="20"/>
              </w:rPr>
              <w:t xml:space="preserve">  The table below details the required checks for SMI patients under this LCS:</w:t>
            </w:r>
          </w:p>
          <w:tbl>
            <w:tblPr>
              <w:tblW w:w="7812" w:type="dxa"/>
              <w:tblCellMar>
                <w:left w:w="0" w:type="dxa"/>
                <w:right w:w="0" w:type="dxa"/>
              </w:tblCellMar>
              <w:tblLook w:val="04A0" w:firstRow="1" w:lastRow="0" w:firstColumn="1" w:lastColumn="0" w:noHBand="0" w:noVBand="1"/>
            </w:tblPr>
            <w:tblGrid>
              <w:gridCol w:w="7812"/>
            </w:tblGrid>
            <w:tr w:rsidR="009612B4" w:rsidTr="009612B4">
              <w:trPr>
                <w:trHeight w:val="285"/>
              </w:trPr>
              <w:tc>
                <w:tcPr>
                  <w:tcW w:w="781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12B4" w:rsidRPr="009612B4" w:rsidRDefault="009612B4">
                  <w:pPr>
                    <w:rPr>
                      <w:b/>
                      <w:bCs/>
                      <w:sz w:val="22"/>
                      <w:szCs w:val="22"/>
                      <w:lang w:eastAsia="en-GB"/>
                    </w:rPr>
                  </w:pPr>
                  <w:r>
                    <w:rPr>
                      <w:b/>
                      <w:bCs/>
                      <w:sz w:val="22"/>
                      <w:szCs w:val="22"/>
                      <w:lang w:eastAsia="en-GB"/>
                    </w:rPr>
                    <w:t>PART 1 &amp; 2 – physical health check and individual subcomponents of the core physical health check.</w:t>
                  </w:r>
                </w:p>
              </w:tc>
            </w:tr>
            <w:tr w:rsidR="00510D30" w:rsidRPr="00134795" w:rsidTr="00510D30">
              <w:trPr>
                <w:trHeight w:val="285"/>
              </w:trPr>
              <w:tc>
                <w:tcPr>
                  <w:tcW w:w="7812" w:type="dxa"/>
                  <w:tcBorders>
                    <w:top w:val="single" w:sz="8" w:space="0" w:color="auto"/>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rsidP="00462F5A">
                  <w:pPr>
                    <w:rPr>
                      <w:rFonts w:ascii="Calibri" w:eastAsiaTheme="minorHAnsi" w:hAnsi="Calibri" w:cs="Calibri"/>
                      <w:b/>
                      <w:bCs/>
                      <w:sz w:val="22"/>
                      <w:szCs w:val="22"/>
                      <w:lang w:eastAsia="en-GB"/>
                    </w:rPr>
                  </w:pPr>
                  <w:r w:rsidRPr="00134795">
                    <w:rPr>
                      <w:b/>
                      <w:bCs/>
                      <w:sz w:val="22"/>
                      <w:szCs w:val="22"/>
                      <w:lang w:eastAsia="en-GB"/>
                    </w:rPr>
                    <w:t xml:space="preserve">1. </w:t>
                  </w:r>
                  <w:r w:rsidR="00462F5A">
                    <w:rPr>
                      <w:b/>
                      <w:bCs/>
                      <w:sz w:val="22"/>
                      <w:szCs w:val="22"/>
                      <w:lang w:eastAsia="en-GB"/>
                    </w:rPr>
                    <w:t xml:space="preserve">A </w:t>
                  </w:r>
                  <w:r w:rsidRPr="00134795">
                    <w:rPr>
                      <w:b/>
                      <w:bCs/>
                      <w:sz w:val="22"/>
                      <w:szCs w:val="22"/>
                      <w:lang w:eastAsia="en-GB"/>
                    </w:rPr>
                    <w:t xml:space="preserve">measurement of weight (BMI or BMI + </w:t>
                  </w:r>
                  <w:r w:rsidR="00462F5A">
                    <w:rPr>
                      <w:b/>
                      <w:bCs/>
                      <w:sz w:val="22"/>
                      <w:szCs w:val="22"/>
                      <w:lang w:eastAsia="en-GB"/>
                    </w:rPr>
                    <w:t>w</w:t>
                  </w:r>
                  <w:r w:rsidRPr="00134795">
                    <w:rPr>
                      <w:b/>
                      <w:bCs/>
                      <w:sz w:val="22"/>
                      <w:szCs w:val="22"/>
                      <w:lang w:eastAsia="en-GB"/>
                    </w:rPr>
                    <w:t>aist circumference)</w:t>
                  </w:r>
                </w:p>
              </w:tc>
            </w:tr>
            <w:tr w:rsidR="00510D30" w:rsidRPr="00134795" w:rsidTr="00510D30">
              <w:trPr>
                <w:trHeight w:val="510"/>
              </w:trPr>
              <w:tc>
                <w:tcPr>
                  <w:tcW w:w="7812" w:type="dxa"/>
                  <w:tcBorders>
                    <w:top w:val="nil"/>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pPr>
                    <w:rPr>
                      <w:rFonts w:ascii="Calibri" w:eastAsiaTheme="minorHAnsi" w:hAnsi="Calibri" w:cs="Calibri"/>
                      <w:b/>
                      <w:bCs/>
                      <w:i/>
                      <w:iCs/>
                      <w:sz w:val="22"/>
                      <w:szCs w:val="22"/>
                      <w:lang w:eastAsia="en-GB"/>
                    </w:rPr>
                  </w:pPr>
                  <w:r w:rsidRPr="00134795">
                    <w:rPr>
                      <w:b/>
                      <w:bCs/>
                      <w:sz w:val="22"/>
                      <w:szCs w:val="22"/>
                      <w:lang w:eastAsia="en-GB"/>
                    </w:rPr>
                    <w:t xml:space="preserve">2. </w:t>
                  </w:r>
                  <w:r w:rsidR="00462F5A">
                    <w:rPr>
                      <w:b/>
                      <w:bCs/>
                      <w:sz w:val="22"/>
                      <w:szCs w:val="22"/>
                      <w:lang w:eastAsia="en-GB"/>
                    </w:rPr>
                    <w:t xml:space="preserve">A </w:t>
                  </w:r>
                  <w:r w:rsidRPr="00134795">
                    <w:rPr>
                      <w:b/>
                      <w:bCs/>
                      <w:sz w:val="22"/>
                      <w:szCs w:val="22"/>
                      <w:lang w:eastAsia="en-GB"/>
                    </w:rPr>
                    <w:t xml:space="preserve">blood pressure and pulse check (diastolic and systolic blood pressure </w:t>
                  </w:r>
                  <w:r w:rsidRPr="00FA3F5C">
                    <w:rPr>
                      <w:b/>
                      <w:bCs/>
                      <w:sz w:val="22"/>
                      <w:szCs w:val="22"/>
                      <w:lang w:eastAsia="en-GB"/>
                    </w:rPr>
                    <w:t xml:space="preserve">recording + pulse rate) </w:t>
                  </w:r>
                  <w:r w:rsidRPr="00FA3F5C">
                    <w:rPr>
                      <w:i/>
                      <w:iCs/>
                      <w:sz w:val="22"/>
                      <w:szCs w:val="22"/>
                      <w:lang w:eastAsia="en-GB"/>
                    </w:rPr>
                    <w:t>note the most recent data searches did not include pulse rate, which was optional</w:t>
                  </w:r>
                </w:p>
              </w:tc>
            </w:tr>
            <w:tr w:rsidR="00510D30" w:rsidRPr="00134795" w:rsidTr="00510D30">
              <w:trPr>
                <w:trHeight w:val="510"/>
              </w:trPr>
              <w:tc>
                <w:tcPr>
                  <w:tcW w:w="7812" w:type="dxa"/>
                  <w:tcBorders>
                    <w:top w:val="nil"/>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pPr>
                    <w:rPr>
                      <w:rFonts w:ascii="Calibri" w:eastAsiaTheme="minorHAnsi" w:hAnsi="Calibri" w:cs="Calibri"/>
                      <w:b/>
                      <w:bCs/>
                      <w:sz w:val="22"/>
                      <w:szCs w:val="22"/>
                      <w:lang w:eastAsia="en-GB"/>
                    </w:rPr>
                  </w:pPr>
                  <w:r w:rsidRPr="00134795">
                    <w:rPr>
                      <w:b/>
                      <w:bCs/>
                      <w:sz w:val="22"/>
                      <w:szCs w:val="22"/>
                      <w:lang w:eastAsia="en-GB"/>
                    </w:rPr>
                    <w:t xml:space="preserve">3. </w:t>
                  </w:r>
                  <w:r w:rsidR="00462F5A">
                    <w:rPr>
                      <w:b/>
                      <w:bCs/>
                      <w:sz w:val="22"/>
                      <w:szCs w:val="22"/>
                      <w:lang w:eastAsia="en-GB"/>
                    </w:rPr>
                    <w:t xml:space="preserve">A </w:t>
                  </w:r>
                  <w:r w:rsidRPr="00134795">
                    <w:rPr>
                      <w:b/>
                      <w:bCs/>
                      <w:sz w:val="22"/>
                      <w:szCs w:val="22"/>
                      <w:lang w:eastAsia="en-GB"/>
                    </w:rPr>
                    <w:t>blood lipid including cholesterol test (cholesterol measurement or QRISK measurement)</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pPr>
                    <w:rPr>
                      <w:rFonts w:ascii="Calibri" w:eastAsiaTheme="minorHAnsi" w:hAnsi="Calibri" w:cs="Calibri"/>
                      <w:b/>
                      <w:bCs/>
                      <w:sz w:val="22"/>
                      <w:szCs w:val="22"/>
                      <w:lang w:eastAsia="en-GB"/>
                    </w:rPr>
                  </w:pPr>
                  <w:r w:rsidRPr="00134795">
                    <w:rPr>
                      <w:b/>
                      <w:bCs/>
                      <w:sz w:val="22"/>
                      <w:szCs w:val="22"/>
                      <w:lang w:eastAsia="en-GB"/>
                    </w:rPr>
                    <w:t xml:space="preserve">4. </w:t>
                  </w:r>
                  <w:r w:rsidR="00462F5A">
                    <w:rPr>
                      <w:b/>
                      <w:bCs/>
                      <w:sz w:val="22"/>
                      <w:szCs w:val="22"/>
                      <w:lang w:eastAsia="en-GB"/>
                    </w:rPr>
                    <w:t xml:space="preserve">A </w:t>
                  </w:r>
                  <w:r w:rsidRPr="00134795">
                    <w:rPr>
                      <w:b/>
                      <w:bCs/>
                      <w:sz w:val="22"/>
                      <w:szCs w:val="22"/>
                      <w:lang w:eastAsia="en-GB"/>
                    </w:rPr>
                    <w:t>blood glucose test (blood glucose or HbA1c measurement)</w:t>
                  </w:r>
                </w:p>
              </w:tc>
            </w:tr>
            <w:tr w:rsidR="00510D30" w:rsidRPr="00134795" w:rsidTr="00510D30">
              <w:trPr>
                <w:trHeight w:val="300"/>
              </w:trPr>
              <w:tc>
                <w:tcPr>
                  <w:tcW w:w="7812" w:type="dxa"/>
                  <w:tcBorders>
                    <w:top w:val="nil"/>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pPr>
                    <w:rPr>
                      <w:rFonts w:ascii="Calibri" w:eastAsiaTheme="minorHAnsi" w:hAnsi="Calibri" w:cs="Calibri"/>
                      <w:b/>
                      <w:bCs/>
                      <w:sz w:val="22"/>
                      <w:szCs w:val="22"/>
                      <w:lang w:eastAsia="en-GB"/>
                    </w:rPr>
                  </w:pPr>
                  <w:r w:rsidRPr="00134795">
                    <w:rPr>
                      <w:b/>
                      <w:bCs/>
                      <w:sz w:val="22"/>
                      <w:szCs w:val="22"/>
                      <w:lang w:eastAsia="en-GB"/>
                    </w:rPr>
                    <w:t xml:space="preserve">5. </w:t>
                  </w:r>
                  <w:r w:rsidR="00462F5A">
                    <w:rPr>
                      <w:b/>
                      <w:bCs/>
                      <w:sz w:val="22"/>
                      <w:szCs w:val="22"/>
                      <w:lang w:eastAsia="en-GB"/>
                    </w:rPr>
                    <w:t xml:space="preserve">An </w:t>
                  </w:r>
                  <w:r w:rsidRPr="00134795">
                    <w:rPr>
                      <w:b/>
                      <w:bCs/>
                      <w:sz w:val="22"/>
                      <w:szCs w:val="22"/>
                      <w:lang w:eastAsia="en-GB"/>
                    </w:rPr>
                    <w:t>assessment of alcohol consumption</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510D30" w:rsidRPr="00134795" w:rsidRDefault="00510D30">
                  <w:pPr>
                    <w:rPr>
                      <w:rFonts w:ascii="Calibri" w:eastAsiaTheme="minorHAnsi" w:hAnsi="Calibri" w:cs="Calibri"/>
                      <w:b/>
                      <w:bCs/>
                      <w:sz w:val="22"/>
                      <w:szCs w:val="22"/>
                      <w:lang w:eastAsia="en-GB"/>
                    </w:rPr>
                  </w:pPr>
                  <w:r w:rsidRPr="00134795">
                    <w:rPr>
                      <w:b/>
                      <w:bCs/>
                      <w:sz w:val="22"/>
                      <w:szCs w:val="22"/>
                      <w:lang w:eastAsia="en-GB"/>
                    </w:rPr>
                    <w:t xml:space="preserve">6. </w:t>
                  </w:r>
                  <w:r w:rsidR="00462F5A">
                    <w:rPr>
                      <w:b/>
                      <w:bCs/>
                      <w:sz w:val="22"/>
                      <w:szCs w:val="22"/>
                      <w:lang w:eastAsia="en-GB"/>
                    </w:rPr>
                    <w:t xml:space="preserve">An </w:t>
                  </w:r>
                  <w:r w:rsidRPr="00134795">
                    <w:rPr>
                      <w:b/>
                      <w:bCs/>
                      <w:sz w:val="22"/>
                      <w:szCs w:val="22"/>
                      <w:lang w:eastAsia="en-GB"/>
                    </w:rPr>
                    <w:t>assessment of smoking status</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10D30" w:rsidRPr="00134795" w:rsidRDefault="009612B4">
                  <w:pPr>
                    <w:rPr>
                      <w:rFonts w:ascii="Calibri" w:eastAsiaTheme="minorHAnsi" w:hAnsi="Calibri" w:cs="Calibri"/>
                      <w:b/>
                      <w:bCs/>
                      <w:sz w:val="22"/>
                      <w:szCs w:val="22"/>
                      <w:lang w:eastAsia="en-GB"/>
                    </w:rPr>
                  </w:pPr>
                  <w:r w:rsidRPr="00134795">
                    <w:rPr>
                      <w:rFonts w:ascii="Calibri" w:eastAsiaTheme="minorHAnsi" w:hAnsi="Calibri" w:cs="Calibri"/>
                      <w:b/>
                      <w:bCs/>
                      <w:sz w:val="22"/>
                      <w:szCs w:val="22"/>
                      <w:lang w:eastAsia="en-GB"/>
                    </w:rPr>
                    <w:t>PART 3 – additional elements of comprehensive physical health assessment (for monitoring)</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10D30" w:rsidRPr="00134795" w:rsidRDefault="00510D30" w:rsidP="009612B4">
                  <w:pPr>
                    <w:rPr>
                      <w:rFonts w:ascii="Calibri" w:eastAsiaTheme="minorHAnsi" w:hAnsi="Calibri" w:cs="Calibri"/>
                      <w:b/>
                      <w:bCs/>
                      <w:sz w:val="22"/>
                      <w:szCs w:val="22"/>
                      <w:lang w:eastAsia="en-GB"/>
                    </w:rPr>
                  </w:pPr>
                  <w:r w:rsidRPr="00134795">
                    <w:rPr>
                      <w:b/>
                      <w:bCs/>
                      <w:sz w:val="22"/>
                      <w:szCs w:val="22"/>
                      <w:lang w:eastAsia="en-GB"/>
                    </w:rPr>
                    <w:t xml:space="preserve">7. </w:t>
                  </w:r>
                  <w:r w:rsidR="00462F5A">
                    <w:rPr>
                      <w:b/>
                      <w:bCs/>
                      <w:sz w:val="22"/>
                      <w:szCs w:val="22"/>
                      <w:lang w:eastAsia="en-GB"/>
                    </w:rPr>
                    <w:t xml:space="preserve">An </w:t>
                  </w:r>
                  <w:r w:rsidR="009612B4" w:rsidRPr="00134795">
                    <w:rPr>
                      <w:b/>
                      <w:bCs/>
                      <w:sz w:val="22"/>
                      <w:szCs w:val="22"/>
                      <w:lang w:eastAsia="en-GB"/>
                    </w:rPr>
                    <w:t>assessment of n</w:t>
                  </w:r>
                  <w:r w:rsidRPr="00134795">
                    <w:rPr>
                      <w:b/>
                      <w:bCs/>
                      <w:sz w:val="22"/>
                      <w:szCs w:val="22"/>
                      <w:lang w:eastAsia="en-GB"/>
                    </w:rPr>
                    <w:t>utrition</w:t>
                  </w:r>
                  <w:r w:rsidR="009612B4" w:rsidRPr="00134795">
                    <w:rPr>
                      <w:b/>
                      <w:bCs/>
                      <w:sz w:val="22"/>
                      <w:szCs w:val="22"/>
                      <w:lang w:eastAsia="en-GB"/>
                    </w:rPr>
                    <w:t>al status or diet and level of physical activity</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10D30" w:rsidRPr="00134795" w:rsidRDefault="00510D30" w:rsidP="009612B4">
                  <w:pPr>
                    <w:rPr>
                      <w:rFonts w:ascii="Calibri" w:eastAsiaTheme="minorHAnsi" w:hAnsi="Calibri" w:cs="Calibri"/>
                      <w:b/>
                      <w:bCs/>
                      <w:sz w:val="22"/>
                      <w:szCs w:val="22"/>
                      <w:lang w:eastAsia="en-GB"/>
                    </w:rPr>
                  </w:pPr>
                  <w:r w:rsidRPr="00134795">
                    <w:rPr>
                      <w:b/>
                      <w:bCs/>
                      <w:sz w:val="22"/>
                      <w:szCs w:val="22"/>
                      <w:lang w:eastAsia="en-GB"/>
                    </w:rPr>
                    <w:t xml:space="preserve">8. </w:t>
                  </w:r>
                  <w:r w:rsidR="00462F5A">
                    <w:rPr>
                      <w:b/>
                      <w:bCs/>
                      <w:sz w:val="22"/>
                      <w:szCs w:val="22"/>
                      <w:lang w:eastAsia="en-GB"/>
                    </w:rPr>
                    <w:t xml:space="preserve">An </w:t>
                  </w:r>
                  <w:r w:rsidR="009612B4" w:rsidRPr="00134795">
                    <w:rPr>
                      <w:b/>
                      <w:bCs/>
                      <w:sz w:val="22"/>
                      <w:szCs w:val="22"/>
                      <w:lang w:eastAsia="en-GB"/>
                    </w:rPr>
                    <w:t>assessment of use of illicit substance/non-prescribed drugs</w:t>
                  </w:r>
                </w:p>
              </w:tc>
            </w:tr>
            <w:tr w:rsidR="00510D30" w:rsidRPr="00134795"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10D30" w:rsidRPr="00134795" w:rsidRDefault="00510D30" w:rsidP="00462F5A">
                  <w:pPr>
                    <w:rPr>
                      <w:rFonts w:ascii="Calibri" w:eastAsiaTheme="minorHAnsi" w:hAnsi="Calibri" w:cs="Calibri"/>
                      <w:b/>
                      <w:bCs/>
                      <w:sz w:val="22"/>
                      <w:szCs w:val="22"/>
                      <w:lang w:eastAsia="en-GB"/>
                    </w:rPr>
                  </w:pPr>
                  <w:r w:rsidRPr="00134795">
                    <w:rPr>
                      <w:b/>
                      <w:bCs/>
                      <w:sz w:val="22"/>
                      <w:szCs w:val="22"/>
                      <w:lang w:eastAsia="en-GB"/>
                    </w:rPr>
                    <w:t xml:space="preserve">9. </w:t>
                  </w:r>
                  <w:r w:rsidR="00462F5A">
                    <w:rPr>
                      <w:b/>
                      <w:bCs/>
                      <w:sz w:val="22"/>
                      <w:szCs w:val="22"/>
                      <w:lang w:eastAsia="en-GB"/>
                    </w:rPr>
                    <w:t>M</w:t>
                  </w:r>
                  <w:r w:rsidR="009612B4" w:rsidRPr="00134795">
                    <w:rPr>
                      <w:b/>
                      <w:bCs/>
                      <w:sz w:val="22"/>
                      <w:szCs w:val="22"/>
                      <w:lang w:eastAsia="en-GB"/>
                    </w:rPr>
                    <w:t xml:space="preserve">edicines reconciliation and review </w:t>
                  </w:r>
                </w:p>
              </w:tc>
            </w:tr>
            <w:tr w:rsidR="00DA0B53" w:rsidTr="00462F5A">
              <w:trPr>
                <w:trHeight w:val="255"/>
              </w:trPr>
              <w:tc>
                <w:tcPr>
                  <w:tcW w:w="78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A0B53" w:rsidRDefault="00DA0B53" w:rsidP="00C1386B">
                  <w:pPr>
                    <w:spacing w:after="0"/>
                    <w:rPr>
                      <w:b/>
                      <w:bCs/>
                      <w:sz w:val="22"/>
                      <w:szCs w:val="22"/>
                      <w:lang w:eastAsia="en-GB"/>
                    </w:rPr>
                  </w:pPr>
                  <w:r>
                    <w:rPr>
                      <w:b/>
                      <w:bCs/>
                      <w:sz w:val="22"/>
                      <w:szCs w:val="22"/>
                      <w:lang w:eastAsia="en-GB"/>
                    </w:rPr>
                    <w:t>PART 4 – follow up interventions (for monitoring)</w:t>
                  </w:r>
                  <w:r w:rsidR="00C1386B">
                    <w:rPr>
                      <w:b/>
                      <w:bCs/>
                      <w:sz w:val="22"/>
                      <w:szCs w:val="22"/>
                      <w:lang w:eastAsia="en-GB"/>
                    </w:rPr>
                    <w:t>;</w:t>
                  </w:r>
                </w:p>
                <w:p w:rsidR="00DA0B53" w:rsidRDefault="00DA0B53" w:rsidP="00C1386B">
                  <w:pPr>
                    <w:spacing w:after="0"/>
                    <w:rPr>
                      <w:b/>
                      <w:bCs/>
                      <w:sz w:val="22"/>
                      <w:szCs w:val="22"/>
                      <w:lang w:eastAsia="en-GB"/>
                    </w:rPr>
                  </w:pPr>
                  <w:r>
                    <w:rPr>
                      <w:b/>
                      <w:bCs/>
                      <w:sz w:val="22"/>
                      <w:szCs w:val="22"/>
                      <w:lang w:eastAsia="en-GB"/>
                    </w:rPr>
                    <w:t>Weight management</w:t>
                  </w:r>
                </w:p>
                <w:p w:rsidR="00C1386B" w:rsidRDefault="00C1386B" w:rsidP="00C1386B">
                  <w:pPr>
                    <w:spacing w:after="0"/>
                    <w:rPr>
                      <w:b/>
                      <w:bCs/>
                      <w:sz w:val="22"/>
                      <w:szCs w:val="22"/>
                      <w:lang w:eastAsia="en-GB"/>
                    </w:rPr>
                  </w:pPr>
                  <w:r>
                    <w:rPr>
                      <w:b/>
                      <w:bCs/>
                      <w:sz w:val="22"/>
                      <w:szCs w:val="22"/>
                      <w:lang w:eastAsia="en-GB"/>
                    </w:rPr>
                    <w:t xml:space="preserve">Blood pressure </w:t>
                  </w:r>
                  <w:r w:rsidR="00FD00B4">
                    <w:rPr>
                      <w:b/>
                      <w:bCs/>
                      <w:sz w:val="22"/>
                      <w:szCs w:val="22"/>
                      <w:lang w:eastAsia="en-GB"/>
                    </w:rPr>
                    <w:t>– (lifestyle intervention)</w:t>
                  </w:r>
                </w:p>
                <w:p w:rsidR="00FD00B4" w:rsidRDefault="00FD00B4" w:rsidP="00C1386B">
                  <w:pPr>
                    <w:spacing w:after="0"/>
                    <w:rPr>
                      <w:b/>
                      <w:bCs/>
                      <w:sz w:val="22"/>
                      <w:szCs w:val="22"/>
                      <w:lang w:eastAsia="en-GB"/>
                    </w:rPr>
                  </w:pPr>
                  <w:r>
                    <w:rPr>
                      <w:b/>
                      <w:bCs/>
                      <w:sz w:val="22"/>
                      <w:szCs w:val="22"/>
                      <w:lang w:eastAsia="en-GB"/>
                    </w:rPr>
                    <w:t>Blood pressure – (pharmacological intervention)</w:t>
                  </w:r>
                </w:p>
                <w:p w:rsidR="00FD00B4" w:rsidRDefault="00FD00B4" w:rsidP="00C1386B">
                  <w:pPr>
                    <w:spacing w:after="0"/>
                    <w:rPr>
                      <w:b/>
                      <w:bCs/>
                      <w:sz w:val="22"/>
                      <w:szCs w:val="22"/>
                      <w:lang w:eastAsia="en-GB"/>
                    </w:rPr>
                  </w:pPr>
                  <w:r>
                    <w:rPr>
                      <w:b/>
                      <w:bCs/>
                      <w:sz w:val="22"/>
                      <w:szCs w:val="22"/>
                      <w:lang w:eastAsia="en-GB"/>
                    </w:rPr>
                    <w:t>Blood glucose (high-risk/prediabetic intervention)</w:t>
                  </w:r>
                </w:p>
                <w:p w:rsidR="00FD00B4" w:rsidRDefault="00FD00B4" w:rsidP="00FD00B4">
                  <w:pPr>
                    <w:spacing w:after="0"/>
                    <w:rPr>
                      <w:b/>
                      <w:bCs/>
                      <w:sz w:val="22"/>
                      <w:szCs w:val="22"/>
                      <w:lang w:eastAsia="en-GB"/>
                    </w:rPr>
                  </w:pPr>
                  <w:r w:rsidRPr="00FD00B4">
                    <w:rPr>
                      <w:b/>
                      <w:bCs/>
                      <w:sz w:val="22"/>
                      <w:szCs w:val="22"/>
                      <w:lang w:eastAsia="en-GB"/>
                    </w:rPr>
                    <w:t>Blood glucose (diabetic intervention)</w:t>
                  </w:r>
                </w:p>
                <w:p w:rsidR="00FD00B4" w:rsidRDefault="00FD00B4" w:rsidP="00FD00B4">
                  <w:pPr>
                    <w:spacing w:after="0"/>
                    <w:rPr>
                      <w:b/>
                      <w:bCs/>
                      <w:sz w:val="22"/>
                      <w:szCs w:val="22"/>
                      <w:lang w:eastAsia="en-GB"/>
                    </w:rPr>
                  </w:pPr>
                  <w:r>
                    <w:rPr>
                      <w:b/>
                      <w:bCs/>
                      <w:sz w:val="22"/>
                      <w:szCs w:val="22"/>
                      <w:lang w:eastAsia="en-GB"/>
                    </w:rPr>
                    <w:t>Alcohol consumption</w:t>
                  </w:r>
                </w:p>
                <w:p w:rsidR="00FD00B4" w:rsidRDefault="00FD00B4" w:rsidP="00FD00B4">
                  <w:pPr>
                    <w:spacing w:after="0"/>
                    <w:rPr>
                      <w:b/>
                      <w:bCs/>
                      <w:sz w:val="22"/>
                      <w:szCs w:val="22"/>
                      <w:lang w:eastAsia="en-GB"/>
                    </w:rPr>
                  </w:pPr>
                  <w:r>
                    <w:rPr>
                      <w:b/>
                      <w:bCs/>
                      <w:sz w:val="22"/>
                      <w:szCs w:val="22"/>
                      <w:lang w:eastAsia="en-GB"/>
                    </w:rPr>
                    <w:t>Smoking</w:t>
                  </w:r>
                </w:p>
                <w:p w:rsidR="00FD00B4" w:rsidRDefault="00FD00B4" w:rsidP="00FD00B4">
                  <w:pPr>
                    <w:spacing w:after="0"/>
                    <w:rPr>
                      <w:b/>
                      <w:bCs/>
                      <w:sz w:val="22"/>
                      <w:szCs w:val="22"/>
                      <w:lang w:eastAsia="en-GB"/>
                    </w:rPr>
                  </w:pPr>
                  <w:r>
                    <w:rPr>
                      <w:b/>
                      <w:bCs/>
                      <w:sz w:val="22"/>
                      <w:szCs w:val="22"/>
                      <w:lang w:eastAsia="en-GB"/>
                    </w:rPr>
                    <w:t>Substance misuse intervention</w:t>
                  </w:r>
                </w:p>
                <w:p w:rsidR="00FD00B4" w:rsidRDefault="00FD00B4" w:rsidP="00C1386B">
                  <w:pPr>
                    <w:spacing w:after="0"/>
                    <w:rPr>
                      <w:b/>
                      <w:bCs/>
                      <w:sz w:val="22"/>
                      <w:szCs w:val="22"/>
                      <w:lang w:eastAsia="en-GB"/>
                    </w:rPr>
                  </w:pPr>
                  <w:r>
                    <w:rPr>
                      <w:b/>
                      <w:bCs/>
                      <w:sz w:val="22"/>
                      <w:szCs w:val="22"/>
                      <w:lang w:eastAsia="en-GB"/>
                    </w:rPr>
                    <w:t xml:space="preserve">Other related to; blood lipid measurement </w:t>
                  </w:r>
                  <w:r w:rsidR="008A306A">
                    <w:rPr>
                      <w:b/>
                      <w:bCs/>
                      <w:sz w:val="22"/>
                      <w:szCs w:val="22"/>
                      <w:lang w:eastAsia="en-GB"/>
                    </w:rPr>
                    <w:t xml:space="preserve">&amp; an assessment of nutritional status, diet and level of physical activity </w:t>
                  </w:r>
                </w:p>
                <w:p w:rsidR="00DA0B53" w:rsidRDefault="008A306A" w:rsidP="00134795">
                  <w:pPr>
                    <w:spacing w:after="0"/>
                    <w:rPr>
                      <w:b/>
                      <w:bCs/>
                      <w:sz w:val="22"/>
                      <w:szCs w:val="22"/>
                      <w:lang w:eastAsia="en-GB"/>
                    </w:rPr>
                  </w:pPr>
                  <w:r>
                    <w:rPr>
                      <w:b/>
                      <w:bCs/>
                      <w:sz w:val="22"/>
                      <w:szCs w:val="22"/>
                      <w:lang w:eastAsia="en-GB"/>
                    </w:rPr>
                    <w:t>Other related to blood lipid (including cholesterol)</w:t>
                  </w:r>
                </w:p>
                <w:p w:rsidR="00134795" w:rsidRDefault="00134795" w:rsidP="00134795">
                  <w:pPr>
                    <w:spacing w:after="0"/>
                    <w:rPr>
                      <w:b/>
                      <w:bCs/>
                      <w:sz w:val="22"/>
                      <w:szCs w:val="22"/>
                      <w:lang w:eastAsia="en-GB"/>
                    </w:rPr>
                  </w:pPr>
                </w:p>
              </w:tc>
            </w:tr>
            <w:tr w:rsidR="009612B4" w:rsidTr="00462F5A">
              <w:trPr>
                <w:trHeight w:val="255"/>
              </w:trPr>
              <w:tc>
                <w:tcPr>
                  <w:tcW w:w="781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12B4" w:rsidRPr="009612B4" w:rsidRDefault="00DA0B53" w:rsidP="00DA0B53">
                  <w:pPr>
                    <w:rPr>
                      <w:b/>
                      <w:bCs/>
                      <w:sz w:val="22"/>
                      <w:szCs w:val="22"/>
                      <w:lang w:eastAsia="en-GB"/>
                    </w:rPr>
                  </w:pPr>
                  <w:r>
                    <w:rPr>
                      <w:b/>
                      <w:bCs/>
                      <w:sz w:val="22"/>
                      <w:szCs w:val="22"/>
                      <w:lang w:eastAsia="en-GB"/>
                    </w:rPr>
                    <w:t>PART 5</w:t>
                  </w:r>
                  <w:r w:rsidR="009612B4">
                    <w:rPr>
                      <w:b/>
                      <w:bCs/>
                      <w:sz w:val="22"/>
                      <w:szCs w:val="22"/>
                      <w:lang w:eastAsia="en-GB"/>
                    </w:rPr>
                    <w:t xml:space="preserve"> – </w:t>
                  </w:r>
                  <w:r>
                    <w:rPr>
                      <w:b/>
                      <w:bCs/>
                      <w:sz w:val="22"/>
                      <w:szCs w:val="22"/>
                      <w:lang w:eastAsia="en-GB"/>
                    </w:rPr>
                    <w:t>access to national screening (</w:t>
                  </w:r>
                  <w:r w:rsidR="009612B4">
                    <w:rPr>
                      <w:b/>
                      <w:bCs/>
                      <w:sz w:val="22"/>
                      <w:szCs w:val="22"/>
                      <w:lang w:eastAsia="en-GB"/>
                    </w:rPr>
                    <w:t>for monitoring)</w:t>
                  </w:r>
                </w:p>
              </w:tc>
            </w:tr>
            <w:tr w:rsidR="00510D30"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462F5A" w:rsidRPr="00134795" w:rsidRDefault="00510D30" w:rsidP="00462F5A">
                  <w:pPr>
                    <w:rPr>
                      <w:rFonts w:ascii="Calibri" w:eastAsiaTheme="minorHAnsi" w:hAnsi="Calibri" w:cs="Calibri"/>
                      <w:b/>
                      <w:bCs/>
                      <w:sz w:val="22"/>
                      <w:szCs w:val="22"/>
                      <w:lang w:eastAsia="en-GB"/>
                    </w:rPr>
                  </w:pPr>
                  <w:r w:rsidRPr="00134795">
                    <w:rPr>
                      <w:b/>
                      <w:bCs/>
                      <w:sz w:val="22"/>
                      <w:szCs w:val="22"/>
                      <w:lang w:eastAsia="en-GB"/>
                    </w:rPr>
                    <w:t xml:space="preserve">10. Cervical </w:t>
                  </w:r>
                  <w:r w:rsidR="00462F5A">
                    <w:rPr>
                      <w:b/>
                      <w:bCs/>
                      <w:sz w:val="22"/>
                      <w:szCs w:val="22"/>
                      <w:lang w:eastAsia="en-GB"/>
                    </w:rPr>
                    <w:t xml:space="preserve">cancer screening </w:t>
                  </w:r>
                </w:p>
              </w:tc>
            </w:tr>
            <w:tr w:rsidR="00510D30"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10D30" w:rsidRPr="00134795" w:rsidRDefault="00510D30" w:rsidP="00462F5A">
                  <w:pPr>
                    <w:rPr>
                      <w:rFonts w:ascii="Calibri" w:eastAsiaTheme="minorHAnsi" w:hAnsi="Calibri" w:cs="Calibri"/>
                      <w:b/>
                      <w:bCs/>
                      <w:sz w:val="22"/>
                      <w:szCs w:val="22"/>
                      <w:lang w:eastAsia="en-GB"/>
                    </w:rPr>
                  </w:pPr>
                  <w:r w:rsidRPr="00134795">
                    <w:rPr>
                      <w:b/>
                      <w:bCs/>
                      <w:sz w:val="22"/>
                      <w:szCs w:val="22"/>
                      <w:lang w:eastAsia="en-GB"/>
                    </w:rPr>
                    <w:lastRenderedPageBreak/>
                    <w:t xml:space="preserve">11. </w:t>
                  </w:r>
                  <w:r w:rsidR="00462F5A">
                    <w:rPr>
                      <w:b/>
                      <w:bCs/>
                      <w:sz w:val="22"/>
                      <w:szCs w:val="22"/>
                      <w:lang w:eastAsia="en-GB"/>
                    </w:rPr>
                    <w:t xml:space="preserve">Breast cancer screening </w:t>
                  </w:r>
                </w:p>
              </w:tc>
            </w:tr>
            <w:tr w:rsidR="00510D30" w:rsidTr="00510D30">
              <w:trPr>
                <w:trHeight w:val="255"/>
              </w:trPr>
              <w:tc>
                <w:tcPr>
                  <w:tcW w:w="7812"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10D30" w:rsidRPr="00134795" w:rsidRDefault="00510D30" w:rsidP="00462F5A">
                  <w:pPr>
                    <w:rPr>
                      <w:rFonts w:ascii="Calibri" w:eastAsiaTheme="minorHAnsi" w:hAnsi="Calibri" w:cs="Calibri"/>
                      <w:b/>
                      <w:bCs/>
                      <w:sz w:val="22"/>
                      <w:szCs w:val="22"/>
                      <w:lang w:eastAsia="en-GB"/>
                    </w:rPr>
                  </w:pPr>
                  <w:r w:rsidRPr="00134795">
                    <w:rPr>
                      <w:b/>
                      <w:bCs/>
                      <w:sz w:val="22"/>
                      <w:szCs w:val="22"/>
                      <w:lang w:eastAsia="en-GB"/>
                    </w:rPr>
                    <w:t xml:space="preserve">12. </w:t>
                  </w:r>
                  <w:r w:rsidR="00462F5A">
                    <w:rPr>
                      <w:b/>
                      <w:bCs/>
                      <w:sz w:val="22"/>
                      <w:szCs w:val="22"/>
                      <w:lang w:eastAsia="en-GB"/>
                    </w:rPr>
                    <w:t xml:space="preserve">Bowel cancer screening </w:t>
                  </w:r>
                </w:p>
              </w:tc>
            </w:tr>
          </w:tbl>
          <w:p w:rsidR="00510D30" w:rsidRDefault="00985DB7" w:rsidP="002F74E5">
            <w:pPr>
              <w:spacing w:after="0"/>
              <w:ind w:left="885" w:hanging="142"/>
              <w:rPr>
                <w:rFonts w:ascii="Arial" w:hAnsi="Arial" w:cs="Arial"/>
                <w:sz w:val="20"/>
              </w:rPr>
            </w:pPr>
            <w:r w:rsidRPr="00985DB7">
              <w:rPr>
                <w:rFonts w:ascii="Arial" w:hAnsi="Arial" w:cs="Arial"/>
                <w:sz w:val="20"/>
              </w:rPr>
              <w:t xml:space="preserve"> </w:t>
            </w:r>
          </w:p>
          <w:p w:rsidR="009612B4" w:rsidRDefault="009612B4" w:rsidP="002F74E5">
            <w:pPr>
              <w:spacing w:after="0"/>
              <w:ind w:left="885" w:hanging="142"/>
              <w:rPr>
                <w:rFonts w:ascii="Arial" w:hAnsi="Arial" w:cs="Arial"/>
                <w:sz w:val="20"/>
              </w:rPr>
            </w:pPr>
          </w:p>
          <w:p w:rsidR="009612B4" w:rsidRDefault="009612B4" w:rsidP="002F74E5">
            <w:pPr>
              <w:spacing w:after="0"/>
              <w:ind w:left="885" w:hanging="142"/>
              <w:rPr>
                <w:rFonts w:ascii="Arial" w:hAnsi="Arial" w:cs="Arial"/>
                <w:sz w:val="20"/>
              </w:rPr>
            </w:pPr>
          </w:p>
          <w:p w:rsidR="00985DB7" w:rsidRPr="00510D30" w:rsidRDefault="00985DB7" w:rsidP="00510D30">
            <w:pPr>
              <w:pStyle w:val="ListParagraph"/>
              <w:numPr>
                <w:ilvl w:val="0"/>
                <w:numId w:val="28"/>
              </w:numPr>
              <w:ind w:left="885" w:hanging="142"/>
              <w:rPr>
                <w:rFonts w:ascii="Arial" w:hAnsi="Arial" w:cs="Arial"/>
                <w:sz w:val="20"/>
              </w:rPr>
            </w:pPr>
            <w:r w:rsidRPr="00510D30">
              <w:rPr>
                <w:rFonts w:ascii="Arial" w:hAnsi="Arial" w:cs="Arial"/>
                <w:sz w:val="20"/>
              </w:rPr>
              <w:t xml:space="preserve">Where appropriate and with the consent of the patient, carers may be involved in any appointments in primary care. If carers are involved, they will have the opportunity to have an individual appointment with the patient’s GP to discuss any issues they may have. If the carer has legal responsibility for the patient, they must be involved in all review appointments. </w:t>
            </w:r>
          </w:p>
          <w:p w:rsidR="00985DB7" w:rsidRPr="00985DB7" w:rsidRDefault="00985DB7"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The Annual Review </w:t>
            </w:r>
            <w:r w:rsidR="0049014D">
              <w:rPr>
                <w:rFonts w:ascii="Arial" w:hAnsi="Arial" w:cs="Arial"/>
                <w:sz w:val="20"/>
              </w:rPr>
              <w:t xml:space="preserve">to be </w:t>
            </w:r>
            <w:r w:rsidRPr="00386D3D">
              <w:rPr>
                <w:rFonts w:ascii="Arial" w:hAnsi="Arial" w:cs="Arial"/>
                <w:sz w:val="20"/>
              </w:rPr>
              <w:t xml:space="preserve">carried out by </w:t>
            </w:r>
            <w:r w:rsidR="0049014D">
              <w:rPr>
                <w:rFonts w:ascii="Arial" w:hAnsi="Arial" w:cs="Arial"/>
                <w:sz w:val="20"/>
              </w:rPr>
              <w:t xml:space="preserve">a appropriately </w:t>
            </w:r>
            <w:r w:rsidR="00386D3D">
              <w:rPr>
                <w:rFonts w:ascii="Arial" w:hAnsi="Arial" w:cs="Arial"/>
                <w:sz w:val="20"/>
              </w:rPr>
              <w:t xml:space="preserve">competent professional. </w:t>
            </w:r>
          </w:p>
          <w:p w:rsidR="00985DB7" w:rsidRPr="00985DB7" w:rsidRDefault="00985DB7" w:rsidP="002937AD">
            <w:pPr>
              <w:spacing w:after="0"/>
              <w:rPr>
                <w:rFonts w:ascii="Arial" w:hAnsi="Arial" w:cs="Arial"/>
                <w:sz w:val="20"/>
              </w:rPr>
            </w:pPr>
          </w:p>
          <w:p w:rsidR="00985DB7" w:rsidRPr="00985DB7" w:rsidRDefault="00985DB7" w:rsidP="002937AD">
            <w:pPr>
              <w:spacing w:after="0"/>
              <w:rPr>
                <w:rFonts w:ascii="Arial" w:hAnsi="Arial" w:cs="Arial"/>
                <w:sz w:val="20"/>
              </w:rPr>
            </w:pPr>
            <w:r w:rsidRPr="00985DB7">
              <w:rPr>
                <w:rFonts w:ascii="Arial" w:hAnsi="Arial" w:cs="Arial"/>
                <w:sz w:val="20"/>
              </w:rPr>
              <w:t xml:space="preserve">The service provider will also: </w:t>
            </w:r>
          </w:p>
          <w:p w:rsidR="00985DB7" w:rsidRPr="00985DB7" w:rsidRDefault="00985DB7"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Ensure each patient has a named GP. </w:t>
            </w:r>
          </w:p>
          <w:p w:rsidR="00985DB7" w:rsidRPr="00985DB7" w:rsidRDefault="00985DB7" w:rsidP="002F74E5">
            <w:pPr>
              <w:spacing w:after="0"/>
              <w:ind w:left="885" w:hanging="142"/>
              <w:rPr>
                <w:rFonts w:ascii="Arial" w:hAnsi="Arial" w:cs="Arial"/>
                <w:sz w:val="20"/>
              </w:rPr>
            </w:pPr>
            <w:r w:rsidRPr="00985DB7">
              <w:rPr>
                <w:rFonts w:ascii="Arial" w:hAnsi="Arial" w:cs="Arial"/>
                <w:sz w:val="20"/>
              </w:rPr>
              <w:sym w:font="Symbol" w:char="F0B7"/>
            </w:r>
            <w:r w:rsidRPr="00985DB7">
              <w:rPr>
                <w:rFonts w:ascii="Arial" w:hAnsi="Arial" w:cs="Arial"/>
                <w:sz w:val="20"/>
              </w:rPr>
              <w:t xml:space="preserve"> Ensure adequate follow-up and engagement of all patients who Did Not Attend (DNA). Practices must have a protocol for the follow-up and engagement with patients who DNA. </w:t>
            </w:r>
          </w:p>
          <w:p w:rsidR="00985DB7" w:rsidRPr="00985DB7" w:rsidRDefault="00985DB7" w:rsidP="002937AD">
            <w:pPr>
              <w:spacing w:after="0"/>
              <w:rPr>
                <w:rFonts w:ascii="Arial" w:hAnsi="Arial" w:cs="Arial"/>
                <w:sz w:val="20"/>
              </w:rPr>
            </w:pPr>
          </w:p>
          <w:p w:rsidR="00703224" w:rsidRPr="00985DB7" w:rsidRDefault="00985DB7" w:rsidP="00703224">
            <w:pPr>
              <w:rPr>
                <w:rFonts w:ascii="Arial" w:hAnsi="Arial" w:cs="Arial"/>
                <w:b/>
                <w:sz w:val="20"/>
              </w:rPr>
            </w:pPr>
            <w:r>
              <w:rPr>
                <w:rFonts w:ascii="Arial" w:hAnsi="Arial" w:cs="Arial"/>
                <w:b/>
                <w:sz w:val="20"/>
              </w:rPr>
              <w:t>3.2.3</w:t>
            </w:r>
            <w:r w:rsidR="00703224" w:rsidRPr="00985DB7">
              <w:rPr>
                <w:rFonts w:ascii="Arial" w:hAnsi="Arial" w:cs="Arial"/>
                <w:b/>
                <w:sz w:val="20"/>
              </w:rPr>
              <w:t xml:space="preserve"> Data Collection</w:t>
            </w:r>
          </w:p>
          <w:p w:rsidR="00703224" w:rsidRPr="00985DB7" w:rsidRDefault="00703224" w:rsidP="00B3629D">
            <w:pPr>
              <w:pStyle w:val="ListParagraph"/>
              <w:numPr>
                <w:ilvl w:val="0"/>
                <w:numId w:val="10"/>
              </w:numPr>
              <w:rPr>
                <w:rFonts w:ascii="Arial" w:hAnsi="Arial" w:cs="Arial"/>
                <w:sz w:val="20"/>
                <w:szCs w:val="20"/>
              </w:rPr>
            </w:pPr>
            <w:r w:rsidRPr="00985DB7">
              <w:rPr>
                <w:rFonts w:ascii="Arial" w:hAnsi="Arial" w:cs="Arial"/>
                <w:sz w:val="20"/>
                <w:szCs w:val="20"/>
              </w:rPr>
              <w:t>Production of an appropriate GP record. Adequate recording should be made regarding the patient’s clinical history</w:t>
            </w:r>
            <w:r w:rsidR="00985DB7">
              <w:rPr>
                <w:rFonts w:ascii="Arial" w:hAnsi="Arial" w:cs="Arial"/>
                <w:sz w:val="20"/>
                <w:szCs w:val="20"/>
              </w:rPr>
              <w:t xml:space="preserve">, </w:t>
            </w:r>
            <w:r w:rsidRPr="00985DB7">
              <w:rPr>
                <w:rFonts w:ascii="Arial" w:hAnsi="Arial" w:cs="Arial"/>
                <w:sz w:val="20"/>
                <w:szCs w:val="20"/>
              </w:rPr>
              <w:t xml:space="preserve">follow-up arrangements and onward referral details. </w:t>
            </w:r>
          </w:p>
          <w:p w:rsidR="00703224" w:rsidRPr="00985DB7" w:rsidRDefault="00703224" w:rsidP="00B3629D">
            <w:pPr>
              <w:pStyle w:val="ListParagraph"/>
              <w:numPr>
                <w:ilvl w:val="0"/>
                <w:numId w:val="10"/>
              </w:numPr>
              <w:rPr>
                <w:rFonts w:ascii="Arial" w:hAnsi="Arial" w:cs="Arial"/>
                <w:sz w:val="20"/>
                <w:szCs w:val="20"/>
              </w:rPr>
            </w:pPr>
            <w:r w:rsidRPr="00985DB7">
              <w:rPr>
                <w:rFonts w:ascii="Arial" w:hAnsi="Arial" w:cs="Arial"/>
                <w:sz w:val="20"/>
                <w:szCs w:val="20"/>
              </w:rPr>
              <w:t>If the patient is not registered with the practice providing the service, the providing practice must ensure that the patient’s registered practice is given all appropriate clinical details for inclusion into the patient’s notes.</w:t>
            </w:r>
          </w:p>
          <w:p w:rsidR="00703224" w:rsidRPr="00985DB7" w:rsidRDefault="00703224" w:rsidP="00703224">
            <w:pPr>
              <w:pStyle w:val="ListParagraph"/>
              <w:rPr>
                <w:rFonts w:ascii="Arial" w:hAnsi="Arial" w:cs="Arial"/>
                <w:sz w:val="20"/>
                <w:szCs w:val="20"/>
              </w:rPr>
            </w:pPr>
          </w:p>
          <w:p w:rsidR="00703224" w:rsidRPr="00985DB7" w:rsidRDefault="00985DB7" w:rsidP="00703224">
            <w:pPr>
              <w:rPr>
                <w:rFonts w:ascii="Arial" w:hAnsi="Arial" w:cs="Arial"/>
                <w:b/>
                <w:sz w:val="20"/>
              </w:rPr>
            </w:pPr>
            <w:r>
              <w:rPr>
                <w:rFonts w:ascii="Arial" w:hAnsi="Arial" w:cs="Arial"/>
                <w:b/>
                <w:sz w:val="20"/>
              </w:rPr>
              <w:t>3.2.4</w:t>
            </w:r>
            <w:r w:rsidR="00703224" w:rsidRPr="00985DB7">
              <w:rPr>
                <w:rFonts w:ascii="Arial" w:hAnsi="Arial" w:cs="Arial"/>
                <w:b/>
                <w:sz w:val="20"/>
              </w:rPr>
              <w:t xml:space="preserve"> Facilities</w:t>
            </w:r>
          </w:p>
          <w:p w:rsidR="00703224" w:rsidRPr="00985DB7" w:rsidRDefault="00985DB7" w:rsidP="00B3629D">
            <w:pPr>
              <w:pStyle w:val="ListParagraph"/>
              <w:numPr>
                <w:ilvl w:val="0"/>
                <w:numId w:val="10"/>
              </w:numPr>
              <w:rPr>
                <w:rFonts w:ascii="Arial" w:hAnsi="Arial" w:cs="Arial"/>
                <w:sz w:val="20"/>
                <w:szCs w:val="20"/>
              </w:rPr>
            </w:pPr>
            <w:r>
              <w:rPr>
                <w:rFonts w:ascii="Arial" w:hAnsi="Arial" w:cs="Arial"/>
                <w:sz w:val="20"/>
                <w:szCs w:val="20"/>
              </w:rPr>
              <w:t>Provision of adequate equipment and facilities</w:t>
            </w:r>
          </w:p>
          <w:p w:rsidR="00703224" w:rsidRPr="00985DB7" w:rsidRDefault="00703224" w:rsidP="00703224">
            <w:pPr>
              <w:pStyle w:val="ListParagraph"/>
              <w:ind w:left="1080"/>
              <w:rPr>
                <w:rFonts w:ascii="Arial" w:hAnsi="Arial" w:cs="Arial"/>
                <w:sz w:val="20"/>
                <w:szCs w:val="20"/>
              </w:rPr>
            </w:pPr>
            <w:r w:rsidRPr="00985DB7">
              <w:rPr>
                <w:rFonts w:ascii="Arial" w:hAnsi="Arial" w:cs="Arial"/>
                <w:sz w:val="20"/>
                <w:szCs w:val="20"/>
              </w:rPr>
              <w:t xml:space="preserve">  </w:t>
            </w:r>
          </w:p>
          <w:p w:rsidR="00703224" w:rsidRPr="00985DB7" w:rsidRDefault="00391C57" w:rsidP="00703224">
            <w:pPr>
              <w:rPr>
                <w:rFonts w:ascii="Arial" w:hAnsi="Arial" w:cs="Arial"/>
                <w:b/>
                <w:sz w:val="20"/>
              </w:rPr>
            </w:pPr>
            <w:r>
              <w:rPr>
                <w:rFonts w:ascii="Arial" w:hAnsi="Arial" w:cs="Arial"/>
                <w:b/>
                <w:sz w:val="20"/>
              </w:rPr>
              <w:t>3.2.5</w:t>
            </w:r>
            <w:r w:rsidR="00703224" w:rsidRPr="00985DB7">
              <w:rPr>
                <w:rFonts w:ascii="Arial" w:hAnsi="Arial" w:cs="Arial"/>
                <w:b/>
                <w:sz w:val="20"/>
              </w:rPr>
              <w:t xml:space="preserve"> Training</w:t>
            </w:r>
          </w:p>
          <w:p w:rsidR="00703224" w:rsidRPr="0049014D" w:rsidRDefault="00703224" w:rsidP="00D500A0">
            <w:pPr>
              <w:pStyle w:val="ListParagraph"/>
              <w:numPr>
                <w:ilvl w:val="0"/>
                <w:numId w:val="10"/>
              </w:numPr>
              <w:ind w:left="1080"/>
              <w:rPr>
                <w:rFonts w:ascii="Arial" w:hAnsi="Arial" w:cs="Arial"/>
                <w:sz w:val="20"/>
                <w:szCs w:val="20"/>
              </w:rPr>
            </w:pPr>
            <w:r w:rsidRPr="0049014D">
              <w:rPr>
                <w:rFonts w:ascii="Arial" w:hAnsi="Arial" w:cs="Arial"/>
                <w:sz w:val="20"/>
                <w:szCs w:val="20"/>
              </w:rPr>
              <w:t>Practitioners undertaking th</w:t>
            </w:r>
            <w:r w:rsidR="00985DB7" w:rsidRPr="0049014D">
              <w:rPr>
                <w:rFonts w:ascii="Arial" w:hAnsi="Arial" w:cs="Arial"/>
                <w:sz w:val="20"/>
                <w:szCs w:val="20"/>
              </w:rPr>
              <w:t xml:space="preserve">e </w:t>
            </w:r>
            <w:r w:rsidR="0049014D" w:rsidRPr="0049014D">
              <w:rPr>
                <w:rFonts w:ascii="Arial" w:hAnsi="Arial" w:cs="Arial"/>
                <w:sz w:val="20"/>
                <w:szCs w:val="20"/>
              </w:rPr>
              <w:t xml:space="preserve">physical </w:t>
            </w:r>
            <w:r w:rsidR="00985DB7" w:rsidRPr="0049014D">
              <w:rPr>
                <w:rFonts w:ascii="Arial" w:hAnsi="Arial" w:cs="Arial"/>
                <w:sz w:val="20"/>
                <w:szCs w:val="20"/>
              </w:rPr>
              <w:t>health</w:t>
            </w:r>
            <w:r w:rsidR="00462F5A">
              <w:rPr>
                <w:rFonts w:ascii="Arial" w:hAnsi="Arial" w:cs="Arial"/>
                <w:sz w:val="20"/>
                <w:szCs w:val="20"/>
              </w:rPr>
              <w:t xml:space="preserve"> </w:t>
            </w:r>
            <w:r w:rsidR="00985DB7" w:rsidRPr="0049014D">
              <w:rPr>
                <w:rFonts w:ascii="Arial" w:hAnsi="Arial" w:cs="Arial"/>
                <w:sz w:val="20"/>
                <w:szCs w:val="20"/>
              </w:rPr>
              <w:t xml:space="preserve">check and reviews </w:t>
            </w:r>
            <w:r w:rsidRPr="0049014D">
              <w:rPr>
                <w:rFonts w:ascii="Arial" w:hAnsi="Arial" w:cs="Arial"/>
                <w:sz w:val="20"/>
                <w:szCs w:val="20"/>
              </w:rPr>
              <w:t xml:space="preserve">should have undertaken appropriate </w:t>
            </w:r>
            <w:r w:rsidRPr="0049014D">
              <w:rPr>
                <w:rFonts w:ascii="Arial" w:hAnsi="Arial" w:cs="Arial"/>
                <w:sz w:val="20"/>
              </w:rPr>
              <w:t xml:space="preserve">training.  </w:t>
            </w:r>
          </w:p>
          <w:p w:rsidR="00703224" w:rsidRPr="00985DB7" w:rsidRDefault="00703224" w:rsidP="00703224">
            <w:pPr>
              <w:pStyle w:val="ListParagraph"/>
              <w:rPr>
                <w:rFonts w:ascii="Arial" w:hAnsi="Arial" w:cs="Arial"/>
                <w:sz w:val="20"/>
                <w:szCs w:val="20"/>
              </w:rPr>
            </w:pPr>
          </w:p>
          <w:p w:rsidR="00703224" w:rsidRDefault="00391C57" w:rsidP="00703224">
            <w:pPr>
              <w:rPr>
                <w:rFonts w:ascii="Arial" w:hAnsi="Arial" w:cs="Arial"/>
                <w:b/>
                <w:sz w:val="20"/>
              </w:rPr>
            </w:pPr>
            <w:r>
              <w:rPr>
                <w:rFonts w:ascii="Arial" w:hAnsi="Arial" w:cs="Arial"/>
                <w:b/>
                <w:sz w:val="20"/>
              </w:rPr>
              <w:t>3.2.6</w:t>
            </w:r>
            <w:r w:rsidR="00703224" w:rsidRPr="00985DB7">
              <w:rPr>
                <w:rFonts w:ascii="Arial" w:hAnsi="Arial" w:cs="Arial"/>
                <w:b/>
                <w:sz w:val="20"/>
              </w:rPr>
              <w:t xml:space="preserve"> </w:t>
            </w:r>
            <w:r w:rsidR="002A2882" w:rsidRPr="00985DB7">
              <w:rPr>
                <w:rFonts w:ascii="Arial" w:hAnsi="Arial" w:cs="Arial"/>
                <w:b/>
                <w:sz w:val="20"/>
              </w:rPr>
              <w:t xml:space="preserve">Read </w:t>
            </w:r>
            <w:r w:rsidR="00703224" w:rsidRPr="00985DB7">
              <w:rPr>
                <w:rFonts w:ascii="Arial" w:hAnsi="Arial" w:cs="Arial"/>
                <w:b/>
                <w:sz w:val="20"/>
              </w:rPr>
              <w:t>Codes</w:t>
            </w:r>
          </w:p>
          <w:p w:rsidR="00584289" w:rsidRDefault="00007FDD" w:rsidP="00703224">
            <w:pPr>
              <w:autoSpaceDE w:val="0"/>
              <w:autoSpaceDN w:val="0"/>
              <w:adjustRightInd w:val="0"/>
              <w:spacing w:after="0"/>
              <w:rPr>
                <w:rFonts w:ascii="Arial" w:hAnsi="Arial" w:cs="Arial"/>
                <w:b/>
                <w:sz w:val="20"/>
              </w:rPr>
            </w:pPr>
            <w:r>
              <w:rPr>
                <w:rFonts w:ascii="Arial" w:hAnsi="Arial" w:cs="Arial"/>
                <w:b/>
                <w:sz w:val="20"/>
              </w:rPr>
              <w:t>To be confirmed</w:t>
            </w:r>
          </w:p>
          <w:p w:rsidR="00007FDD" w:rsidRPr="00985DB7" w:rsidRDefault="00007FDD" w:rsidP="00703224">
            <w:pPr>
              <w:autoSpaceDE w:val="0"/>
              <w:autoSpaceDN w:val="0"/>
              <w:adjustRightInd w:val="0"/>
              <w:spacing w:after="0"/>
              <w:rPr>
                <w:rFonts w:ascii="Arial" w:hAnsi="Arial" w:cs="Arial"/>
                <w:sz w:val="20"/>
              </w:rPr>
            </w:pPr>
          </w:p>
          <w:p w:rsidR="00235D08" w:rsidRPr="00985DB7" w:rsidRDefault="00235D08" w:rsidP="002937AD">
            <w:pPr>
              <w:spacing w:after="0"/>
              <w:rPr>
                <w:rFonts w:ascii="Arial" w:hAnsi="Arial" w:cs="Arial"/>
                <w:b/>
                <w:sz w:val="20"/>
              </w:rPr>
            </w:pPr>
            <w:r w:rsidRPr="00985DB7">
              <w:rPr>
                <w:rFonts w:ascii="Arial" w:hAnsi="Arial" w:cs="Arial"/>
                <w:b/>
                <w:sz w:val="20"/>
              </w:rPr>
              <w:t>3.3</w:t>
            </w:r>
            <w:r w:rsidRPr="00985DB7">
              <w:rPr>
                <w:rFonts w:ascii="Arial" w:hAnsi="Arial" w:cs="Arial"/>
                <w:b/>
                <w:sz w:val="20"/>
              </w:rPr>
              <w:tab/>
              <w:t>Population covered</w:t>
            </w:r>
          </w:p>
          <w:p w:rsidR="00141F0D" w:rsidRPr="00985DB7" w:rsidRDefault="00141F0D" w:rsidP="002937AD">
            <w:pPr>
              <w:spacing w:after="0"/>
              <w:rPr>
                <w:rFonts w:ascii="Arial" w:hAnsi="Arial" w:cs="Arial"/>
                <w:b/>
                <w:sz w:val="20"/>
              </w:rPr>
            </w:pPr>
          </w:p>
          <w:p w:rsidR="00391C57" w:rsidRDefault="00985DB7" w:rsidP="002937AD">
            <w:pPr>
              <w:spacing w:after="0"/>
              <w:rPr>
                <w:rFonts w:ascii="Arial" w:hAnsi="Arial" w:cs="Arial"/>
                <w:sz w:val="20"/>
              </w:rPr>
            </w:pPr>
            <w:r w:rsidRPr="00985DB7">
              <w:rPr>
                <w:rFonts w:ascii="Arial" w:hAnsi="Arial" w:cs="Arial"/>
                <w:sz w:val="20"/>
              </w:rPr>
              <w:t xml:space="preserve">This service must be delivered by an individual Practice or group </w:t>
            </w:r>
            <w:r w:rsidR="00391C57">
              <w:rPr>
                <w:rFonts w:ascii="Arial" w:hAnsi="Arial" w:cs="Arial"/>
                <w:sz w:val="20"/>
              </w:rPr>
              <w:t xml:space="preserve">of </w:t>
            </w:r>
            <w:r w:rsidRPr="00985DB7">
              <w:rPr>
                <w:rFonts w:ascii="Arial" w:hAnsi="Arial" w:cs="Arial"/>
                <w:sz w:val="20"/>
              </w:rPr>
              <w:t>Practices to all patients registered with these practices ensuring equitable access and quality of service to the entire CCG population group. It is recommended that this specification is delivered at practice specific level as this ensures the most holistic care for the patient and closest to their home.</w:t>
            </w:r>
          </w:p>
          <w:p w:rsidR="00391C57" w:rsidRDefault="00391C57" w:rsidP="002937AD">
            <w:pPr>
              <w:spacing w:after="0"/>
              <w:rPr>
                <w:rFonts w:ascii="Arial" w:hAnsi="Arial" w:cs="Arial"/>
                <w:sz w:val="20"/>
              </w:rPr>
            </w:pPr>
          </w:p>
          <w:p w:rsidR="00235D08" w:rsidRPr="00985DB7" w:rsidRDefault="00235D08" w:rsidP="002937AD">
            <w:pPr>
              <w:spacing w:after="0"/>
              <w:rPr>
                <w:rFonts w:ascii="Arial" w:hAnsi="Arial" w:cs="Arial"/>
                <w:b/>
                <w:sz w:val="20"/>
              </w:rPr>
            </w:pPr>
            <w:r w:rsidRPr="00985DB7">
              <w:rPr>
                <w:rFonts w:ascii="Arial" w:hAnsi="Arial" w:cs="Arial"/>
                <w:b/>
                <w:sz w:val="20"/>
              </w:rPr>
              <w:t>3.4</w:t>
            </w:r>
            <w:r w:rsidRPr="00985DB7">
              <w:rPr>
                <w:rFonts w:ascii="Arial" w:hAnsi="Arial" w:cs="Arial"/>
                <w:b/>
                <w:sz w:val="20"/>
              </w:rPr>
              <w:tab/>
              <w:t>Any acceptance and exclusion criteria and thresholds</w:t>
            </w:r>
          </w:p>
          <w:p w:rsidR="00703224" w:rsidRDefault="00703224" w:rsidP="00703224">
            <w:pPr>
              <w:spacing w:after="0"/>
              <w:rPr>
                <w:rFonts w:ascii="Arial" w:hAnsi="Arial" w:cs="Arial"/>
                <w:sz w:val="20"/>
              </w:rPr>
            </w:pPr>
          </w:p>
          <w:p w:rsidR="00391C57" w:rsidRPr="002F74E5" w:rsidRDefault="00391C57" w:rsidP="00703224">
            <w:pPr>
              <w:spacing w:after="0"/>
              <w:rPr>
                <w:rFonts w:ascii="Arial" w:hAnsi="Arial" w:cs="Arial"/>
                <w:b/>
                <w:sz w:val="20"/>
              </w:rPr>
            </w:pPr>
            <w:r w:rsidRPr="002F74E5">
              <w:rPr>
                <w:rFonts w:ascii="Arial" w:hAnsi="Arial" w:cs="Arial"/>
                <w:b/>
                <w:sz w:val="20"/>
              </w:rPr>
              <w:t xml:space="preserve">3.4.1 </w:t>
            </w:r>
            <w:r w:rsidR="002F74E5">
              <w:rPr>
                <w:rFonts w:ascii="Arial" w:hAnsi="Arial" w:cs="Arial"/>
                <w:b/>
                <w:sz w:val="20"/>
              </w:rPr>
              <w:t>Acceptance</w:t>
            </w:r>
          </w:p>
          <w:p w:rsidR="00F17EA2" w:rsidRPr="00D20972" w:rsidRDefault="00F17EA2" w:rsidP="00703224">
            <w:pPr>
              <w:spacing w:after="0"/>
              <w:rPr>
                <w:rFonts w:ascii="Arial" w:hAnsi="Arial" w:cs="Arial"/>
                <w:sz w:val="20"/>
              </w:rPr>
            </w:pPr>
          </w:p>
          <w:p w:rsidR="00391C57" w:rsidRPr="00D20972" w:rsidRDefault="00391C57" w:rsidP="002F74E5">
            <w:pPr>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Adult patients (aged 18 years and over) who are on the QOF SMI register. </w:t>
            </w:r>
          </w:p>
          <w:p w:rsidR="00F17EA2" w:rsidRPr="00D20972" w:rsidRDefault="00F17EA2" w:rsidP="00703224">
            <w:pPr>
              <w:spacing w:after="0"/>
              <w:rPr>
                <w:rFonts w:ascii="Arial" w:hAnsi="Arial" w:cs="Arial"/>
                <w:sz w:val="20"/>
              </w:rPr>
            </w:pPr>
          </w:p>
          <w:p w:rsidR="00F17EA2" w:rsidRPr="00D20972" w:rsidRDefault="00391C57" w:rsidP="00703224">
            <w:pPr>
              <w:spacing w:after="0"/>
              <w:rPr>
                <w:rFonts w:ascii="Arial" w:hAnsi="Arial" w:cs="Arial"/>
                <w:sz w:val="20"/>
              </w:rPr>
            </w:pPr>
            <w:r w:rsidRPr="00D20972">
              <w:rPr>
                <w:rFonts w:ascii="Arial" w:hAnsi="Arial" w:cs="Arial"/>
                <w:sz w:val="20"/>
              </w:rPr>
              <w:t xml:space="preserve">These would include patients who: </w:t>
            </w:r>
          </w:p>
          <w:p w:rsidR="00F17EA2" w:rsidRPr="00D20972" w:rsidRDefault="00391C57" w:rsidP="002F74E5">
            <w:pPr>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Have needs above those that would ordinarily be provided for under the GMS core contract, or the Quality Outcomes Framework, and require the additional proactive support </w:t>
            </w:r>
          </w:p>
          <w:p w:rsidR="00F17EA2" w:rsidRPr="00D20972" w:rsidRDefault="00391C57" w:rsidP="002F74E5">
            <w:pPr>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Are under Secondary Care and have no anticipated changes to their current </w:t>
            </w:r>
            <w:r w:rsidRPr="00D20972">
              <w:rPr>
                <w:rFonts w:ascii="Arial" w:hAnsi="Arial" w:cs="Arial"/>
                <w:sz w:val="20"/>
              </w:rPr>
              <w:lastRenderedPageBreak/>
              <w:t xml:space="preserve">treatment plan and, where applicable, are prepared to receive medication from their GP. </w:t>
            </w:r>
          </w:p>
          <w:p w:rsidR="00F17EA2" w:rsidRPr="00D20972" w:rsidRDefault="00391C57" w:rsidP="002F74E5">
            <w:pPr>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Require minimal assistance with medication concordance and must be stable on medication but requiring regular review and monitoring </w:t>
            </w:r>
          </w:p>
          <w:p w:rsidR="00F17EA2" w:rsidRPr="00D20972" w:rsidRDefault="00F17EA2" w:rsidP="00703224">
            <w:pPr>
              <w:spacing w:after="0"/>
              <w:rPr>
                <w:rFonts w:ascii="Arial" w:hAnsi="Arial" w:cs="Arial"/>
                <w:sz w:val="20"/>
              </w:rPr>
            </w:pPr>
          </w:p>
          <w:p w:rsidR="00F17EA2" w:rsidRPr="00D20972" w:rsidRDefault="00F17EA2" w:rsidP="00703224">
            <w:pPr>
              <w:spacing w:after="0"/>
              <w:rPr>
                <w:rFonts w:ascii="Arial" w:hAnsi="Arial" w:cs="Arial"/>
                <w:sz w:val="20"/>
              </w:rPr>
            </w:pPr>
          </w:p>
          <w:p w:rsidR="002F74E5" w:rsidRDefault="00F17EA2" w:rsidP="00703224">
            <w:pPr>
              <w:spacing w:after="0"/>
              <w:rPr>
                <w:rFonts w:ascii="Arial" w:hAnsi="Arial" w:cs="Arial"/>
                <w:b/>
                <w:sz w:val="20"/>
              </w:rPr>
            </w:pPr>
            <w:r w:rsidRPr="002F74E5">
              <w:rPr>
                <w:rFonts w:ascii="Arial" w:hAnsi="Arial" w:cs="Arial"/>
                <w:b/>
                <w:sz w:val="20"/>
              </w:rPr>
              <w:t xml:space="preserve">3.4.2 </w:t>
            </w:r>
            <w:r w:rsidR="00391C57" w:rsidRPr="002F74E5">
              <w:rPr>
                <w:rFonts w:ascii="Arial" w:hAnsi="Arial" w:cs="Arial"/>
                <w:b/>
                <w:sz w:val="20"/>
              </w:rPr>
              <w:t>Exclusions</w:t>
            </w:r>
          </w:p>
          <w:p w:rsidR="00F17EA2" w:rsidRPr="00D20972" w:rsidRDefault="00391C57" w:rsidP="00703224">
            <w:pPr>
              <w:spacing w:after="0"/>
              <w:rPr>
                <w:rFonts w:ascii="Arial" w:hAnsi="Arial" w:cs="Arial"/>
                <w:sz w:val="20"/>
              </w:rPr>
            </w:pPr>
            <w:r w:rsidRPr="00D20972">
              <w:rPr>
                <w:rFonts w:ascii="Arial" w:hAnsi="Arial" w:cs="Arial"/>
                <w:sz w:val="20"/>
              </w:rPr>
              <w:t xml:space="preserve"> </w:t>
            </w:r>
          </w:p>
          <w:p w:rsidR="00F17EA2" w:rsidRPr="00D20972" w:rsidRDefault="00391C57" w:rsidP="002F74E5">
            <w:pPr>
              <w:tabs>
                <w:tab w:val="left" w:pos="743"/>
              </w:tabs>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Patients with Mild to Moderate </w:t>
            </w:r>
            <w:r w:rsidR="00FA3F5C">
              <w:rPr>
                <w:rFonts w:ascii="Arial" w:hAnsi="Arial" w:cs="Arial"/>
                <w:sz w:val="20"/>
              </w:rPr>
              <w:t>S</w:t>
            </w:r>
            <w:r w:rsidRPr="00D20972">
              <w:rPr>
                <w:rFonts w:ascii="Arial" w:hAnsi="Arial" w:cs="Arial"/>
                <w:sz w:val="20"/>
              </w:rPr>
              <w:t xml:space="preserve">MI whose conditions respond well to first line treatment specified in NICE guidance </w:t>
            </w:r>
            <w:r w:rsidR="00256BF0">
              <w:rPr>
                <w:rFonts w:ascii="Arial" w:hAnsi="Arial" w:cs="Arial"/>
                <w:sz w:val="20"/>
              </w:rPr>
              <w:t>who are not on the SMI register.</w:t>
            </w:r>
          </w:p>
          <w:p w:rsidR="00F17EA2" w:rsidRPr="00D20972" w:rsidRDefault="00391C57" w:rsidP="002F74E5">
            <w:pPr>
              <w:tabs>
                <w:tab w:val="left" w:pos="743"/>
              </w:tabs>
              <w:spacing w:after="0"/>
              <w:ind w:left="743" w:hanging="425"/>
              <w:rPr>
                <w:rFonts w:ascii="Arial" w:hAnsi="Arial" w:cs="Arial"/>
                <w:sz w:val="20"/>
              </w:rPr>
            </w:pPr>
            <w:r w:rsidRPr="00D20972">
              <w:rPr>
                <w:rFonts w:ascii="Arial" w:hAnsi="Arial" w:cs="Arial"/>
                <w:sz w:val="20"/>
              </w:rPr>
              <w:sym w:font="Symbol" w:char="F0B7"/>
            </w:r>
            <w:r w:rsidRPr="00D20972">
              <w:rPr>
                <w:rFonts w:ascii="Arial" w:hAnsi="Arial" w:cs="Arial"/>
                <w:sz w:val="20"/>
              </w:rPr>
              <w:t xml:space="preserve"> </w:t>
            </w:r>
            <w:r w:rsidR="002F74E5">
              <w:rPr>
                <w:rFonts w:ascii="Arial" w:hAnsi="Arial" w:cs="Arial"/>
                <w:sz w:val="20"/>
              </w:rPr>
              <w:t xml:space="preserve">     </w:t>
            </w:r>
            <w:r w:rsidRPr="00D20972">
              <w:rPr>
                <w:rFonts w:ascii="Arial" w:hAnsi="Arial" w:cs="Arial"/>
                <w:sz w:val="20"/>
              </w:rPr>
              <w:t xml:space="preserve">Patients under 18 years of age </w:t>
            </w:r>
          </w:p>
          <w:p w:rsidR="00391C57" w:rsidRPr="00D20972" w:rsidRDefault="002F74E5">
            <w:pPr>
              <w:tabs>
                <w:tab w:val="left" w:pos="743"/>
              </w:tabs>
              <w:spacing w:after="0"/>
              <w:ind w:left="743" w:hanging="425"/>
              <w:rPr>
                <w:rFonts w:ascii="Arial" w:hAnsi="Arial" w:cs="Arial"/>
                <w:sz w:val="20"/>
              </w:rPr>
            </w:pPr>
            <w:r>
              <w:rPr>
                <w:rFonts w:ascii="Arial" w:hAnsi="Arial" w:cs="Arial"/>
                <w:sz w:val="20"/>
              </w:rPr>
              <w:t xml:space="preserve">     </w:t>
            </w:r>
          </w:p>
          <w:p w:rsidR="00703224" w:rsidRPr="00985DB7" w:rsidRDefault="00703224" w:rsidP="00703224">
            <w:pPr>
              <w:spacing w:after="0"/>
              <w:rPr>
                <w:rFonts w:ascii="Arial" w:hAnsi="Arial" w:cs="Arial"/>
                <w:color w:val="009966"/>
                <w:sz w:val="20"/>
              </w:rPr>
            </w:pPr>
          </w:p>
          <w:p w:rsidR="00235D08" w:rsidRPr="00985DB7" w:rsidRDefault="00235D08" w:rsidP="002937AD">
            <w:pPr>
              <w:spacing w:after="0"/>
              <w:rPr>
                <w:rFonts w:ascii="Arial" w:hAnsi="Arial" w:cs="Arial"/>
                <w:b/>
                <w:sz w:val="20"/>
              </w:rPr>
            </w:pPr>
            <w:r w:rsidRPr="00985DB7">
              <w:rPr>
                <w:rFonts w:ascii="Arial" w:hAnsi="Arial" w:cs="Arial"/>
                <w:b/>
                <w:sz w:val="20"/>
              </w:rPr>
              <w:t>3.5</w:t>
            </w:r>
            <w:r w:rsidRPr="00985DB7">
              <w:rPr>
                <w:rFonts w:ascii="Arial" w:hAnsi="Arial" w:cs="Arial"/>
                <w:b/>
                <w:sz w:val="20"/>
              </w:rPr>
              <w:tab/>
              <w:t xml:space="preserve">Interdependence </w:t>
            </w:r>
            <w:r w:rsidR="00347E53">
              <w:rPr>
                <w:rFonts w:ascii="Arial" w:hAnsi="Arial" w:cs="Arial"/>
                <w:b/>
                <w:sz w:val="20"/>
              </w:rPr>
              <w:t xml:space="preserve">with and responsibilities of </w:t>
            </w:r>
            <w:r w:rsidRPr="00985DB7">
              <w:rPr>
                <w:rFonts w:ascii="Arial" w:hAnsi="Arial" w:cs="Arial"/>
                <w:b/>
                <w:sz w:val="20"/>
              </w:rPr>
              <w:t>other services/providers</w:t>
            </w:r>
          </w:p>
          <w:p w:rsidR="00235D08" w:rsidRPr="00985DB7" w:rsidRDefault="00235D08" w:rsidP="002937AD">
            <w:pPr>
              <w:spacing w:after="0"/>
              <w:rPr>
                <w:rFonts w:ascii="Arial" w:hAnsi="Arial" w:cs="Arial"/>
                <w:sz w:val="20"/>
              </w:rPr>
            </w:pPr>
          </w:p>
          <w:p w:rsidR="00347E53" w:rsidRPr="00347E53" w:rsidRDefault="00347E53" w:rsidP="00347E53">
            <w:pPr>
              <w:ind w:left="459"/>
              <w:rPr>
                <w:rFonts w:ascii="Arial" w:hAnsi="Arial" w:cs="Arial"/>
                <w:sz w:val="20"/>
              </w:rPr>
            </w:pPr>
            <w:r>
              <w:rPr>
                <w:rFonts w:ascii="Arial" w:hAnsi="Arial" w:cs="Arial"/>
                <w:sz w:val="20"/>
              </w:rPr>
              <w:t>N</w:t>
            </w:r>
            <w:r w:rsidRPr="00347E53">
              <w:rPr>
                <w:rFonts w:ascii="Arial" w:hAnsi="Arial" w:cs="Arial"/>
                <w:sz w:val="20"/>
              </w:rPr>
              <w:t>ational guidance states the following:</w:t>
            </w:r>
          </w:p>
          <w:p w:rsidR="00347E53" w:rsidRPr="00347E53" w:rsidRDefault="00347E53" w:rsidP="00347E53">
            <w:pPr>
              <w:ind w:left="459"/>
              <w:rPr>
                <w:rFonts w:ascii="Arial" w:hAnsi="Arial" w:cs="Arial"/>
                <w:sz w:val="20"/>
              </w:rPr>
            </w:pPr>
            <w:r w:rsidRPr="00347E53">
              <w:rPr>
                <w:rFonts w:ascii="Arial" w:hAnsi="Arial" w:cs="Arial"/>
                <w:sz w:val="20"/>
              </w:rPr>
              <w:t>Primary care teams are responsible for carrying out annual physical health assessments and follow-up care for:</w:t>
            </w:r>
          </w:p>
          <w:p w:rsidR="00347E53" w:rsidRPr="001A06E1" w:rsidRDefault="00347E53" w:rsidP="00347E53">
            <w:pPr>
              <w:numPr>
                <w:ilvl w:val="0"/>
                <w:numId w:val="26"/>
              </w:numPr>
              <w:spacing w:after="0"/>
              <w:ind w:left="743" w:hanging="425"/>
              <w:rPr>
                <w:rFonts w:ascii="Arial" w:eastAsiaTheme="minorHAnsi" w:hAnsi="Arial" w:cs="Arial"/>
                <w:sz w:val="20"/>
              </w:rPr>
            </w:pPr>
            <w:r w:rsidRPr="001A06E1">
              <w:rPr>
                <w:rFonts w:ascii="Arial" w:eastAsia="Times New Roman" w:hAnsi="Arial" w:cs="Arial"/>
                <w:sz w:val="20"/>
              </w:rPr>
              <w:t>patients with SMI who are not in contact with secondary mental health services, including both:</w:t>
            </w:r>
            <w:r w:rsidR="001A06E1" w:rsidRPr="001A06E1">
              <w:rPr>
                <w:rFonts w:ascii="Arial" w:eastAsia="Times New Roman" w:hAnsi="Arial" w:cs="Arial"/>
                <w:sz w:val="20"/>
              </w:rPr>
              <w:t xml:space="preserve"> </w:t>
            </w:r>
            <w:r w:rsidRPr="001A06E1">
              <w:rPr>
                <w:rFonts w:ascii="Arial" w:hAnsi="Arial" w:cs="Arial"/>
                <w:sz w:val="20"/>
              </w:rPr>
              <w:t>those whose care has always been solely in primary care, and</w:t>
            </w:r>
          </w:p>
          <w:p w:rsidR="00347E53" w:rsidRPr="00347E53" w:rsidRDefault="00347E53" w:rsidP="001A06E1">
            <w:pPr>
              <w:pStyle w:val="ListParagraph"/>
              <w:ind w:left="743"/>
              <w:rPr>
                <w:rFonts w:ascii="Arial" w:hAnsi="Arial" w:cs="Arial"/>
                <w:sz w:val="20"/>
                <w:szCs w:val="20"/>
              </w:rPr>
            </w:pPr>
            <w:r w:rsidRPr="00347E53">
              <w:rPr>
                <w:rFonts w:ascii="Arial" w:hAnsi="Arial" w:cs="Arial"/>
                <w:sz w:val="20"/>
                <w:szCs w:val="20"/>
              </w:rPr>
              <w:t>those who have been discharged from secondar</w:t>
            </w:r>
            <w:r w:rsidR="001A06E1">
              <w:rPr>
                <w:rFonts w:ascii="Arial" w:hAnsi="Arial" w:cs="Arial"/>
                <w:sz w:val="20"/>
                <w:szCs w:val="20"/>
              </w:rPr>
              <w:t>y care back to primary care</w:t>
            </w:r>
          </w:p>
          <w:p w:rsidR="00347E53" w:rsidRPr="00347E53" w:rsidRDefault="00347E53" w:rsidP="00347E53">
            <w:pPr>
              <w:numPr>
                <w:ilvl w:val="0"/>
                <w:numId w:val="27"/>
              </w:numPr>
              <w:spacing w:after="240"/>
              <w:ind w:left="743" w:hanging="425"/>
              <w:rPr>
                <w:rFonts w:ascii="Arial" w:eastAsia="Times New Roman" w:hAnsi="Arial" w:cs="Arial"/>
                <w:sz w:val="20"/>
              </w:rPr>
            </w:pPr>
            <w:r w:rsidRPr="00347E53">
              <w:rPr>
                <w:rFonts w:ascii="Arial" w:eastAsia="Times New Roman" w:hAnsi="Arial" w:cs="Arial"/>
                <w:sz w:val="20"/>
              </w:rPr>
              <w:t xml:space="preserve">patients with SMI who have been in contact with secondary care mental health teams (with shared care arrangements in place) for more than 12 months and / or whose condition has stabilized. </w:t>
            </w:r>
          </w:p>
          <w:p w:rsidR="00347E53" w:rsidRPr="00347E53" w:rsidRDefault="001A06E1" w:rsidP="00347E53">
            <w:pPr>
              <w:ind w:left="459" w:hanging="567"/>
              <w:rPr>
                <w:rFonts w:ascii="Arial" w:eastAsiaTheme="minorHAnsi" w:hAnsi="Arial" w:cs="Arial"/>
                <w:sz w:val="20"/>
              </w:rPr>
            </w:pPr>
            <w:r>
              <w:rPr>
                <w:rFonts w:ascii="Arial" w:hAnsi="Arial" w:cs="Arial"/>
                <w:sz w:val="20"/>
              </w:rPr>
              <w:t xml:space="preserve">         </w:t>
            </w:r>
            <w:r w:rsidR="00347E53" w:rsidRPr="00347E53">
              <w:rPr>
                <w:rFonts w:ascii="Arial" w:hAnsi="Arial" w:cs="Arial"/>
                <w:sz w:val="20"/>
              </w:rPr>
              <w:t xml:space="preserve"> Secondary care teams are responsible for carrying out annual physical health assessments and follow-up care for:</w:t>
            </w:r>
          </w:p>
          <w:p w:rsidR="00347E53" w:rsidRPr="00347E53" w:rsidRDefault="00347E53" w:rsidP="001A06E1">
            <w:pPr>
              <w:numPr>
                <w:ilvl w:val="0"/>
                <w:numId w:val="27"/>
              </w:numPr>
              <w:spacing w:after="0"/>
              <w:ind w:left="743" w:hanging="425"/>
              <w:rPr>
                <w:rFonts w:ascii="Arial" w:eastAsia="Times New Roman" w:hAnsi="Arial" w:cs="Arial"/>
                <w:sz w:val="20"/>
              </w:rPr>
            </w:pPr>
            <w:r w:rsidRPr="00347E53">
              <w:rPr>
                <w:rFonts w:ascii="Arial" w:eastAsia="Times New Roman" w:hAnsi="Arial" w:cs="Arial"/>
                <w:sz w:val="20"/>
              </w:rPr>
              <w:t xml:space="preserve">patients with SMI under </w:t>
            </w:r>
            <w:r w:rsidR="001A06E1">
              <w:rPr>
                <w:rFonts w:ascii="Arial" w:eastAsia="Times New Roman" w:hAnsi="Arial" w:cs="Arial"/>
                <w:sz w:val="20"/>
              </w:rPr>
              <w:t xml:space="preserve">the </w:t>
            </w:r>
            <w:r w:rsidRPr="00347E53">
              <w:rPr>
                <w:rFonts w:ascii="Arial" w:eastAsia="Times New Roman" w:hAnsi="Arial" w:cs="Arial"/>
                <w:sz w:val="20"/>
              </w:rPr>
              <w:t xml:space="preserve">care of </w:t>
            </w:r>
            <w:r w:rsidR="001A06E1">
              <w:rPr>
                <w:rFonts w:ascii="Arial" w:eastAsia="Times New Roman" w:hAnsi="Arial" w:cs="Arial"/>
                <w:sz w:val="20"/>
              </w:rPr>
              <w:t xml:space="preserve">a </w:t>
            </w:r>
            <w:r w:rsidRPr="00347E53">
              <w:rPr>
                <w:rFonts w:ascii="Arial" w:eastAsia="Times New Roman" w:hAnsi="Arial" w:cs="Arial"/>
                <w:sz w:val="20"/>
              </w:rPr>
              <w:t>mental health team for less than 12 months and / or whose condition has not yet stabilized;</w:t>
            </w:r>
          </w:p>
          <w:p w:rsidR="0049014D" w:rsidRPr="0049014D" w:rsidRDefault="00347E53" w:rsidP="00D500A0">
            <w:pPr>
              <w:spacing w:after="0"/>
              <w:ind w:left="743"/>
              <w:rPr>
                <w:rFonts w:ascii="Arial" w:eastAsia="Times New Roman" w:hAnsi="Arial" w:cs="Arial"/>
                <w:sz w:val="20"/>
              </w:rPr>
            </w:pPr>
            <w:r w:rsidRPr="00347E53">
              <w:rPr>
                <w:rFonts w:ascii="Arial" w:eastAsia="Times New Roman" w:hAnsi="Arial" w:cs="Arial"/>
                <w:sz w:val="20"/>
              </w:rPr>
              <w:t>inpatients.</w:t>
            </w:r>
          </w:p>
          <w:p w:rsidR="00507B2E" w:rsidRDefault="0049014D" w:rsidP="00D500A0">
            <w:pPr>
              <w:pStyle w:val="ListParagraph"/>
              <w:ind w:left="459"/>
              <w:rPr>
                <w:rFonts w:ascii="Arial" w:hAnsi="Arial" w:cs="Arial"/>
                <w:sz w:val="20"/>
                <w:szCs w:val="20"/>
              </w:rPr>
            </w:pPr>
            <w:r w:rsidRPr="0049014D">
              <w:rPr>
                <w:rFonts w:ascii="Arial" w:hAnsi="Arial" w:cs="Arial"/>
                <w:sz w:val="20"/>
                <w:szCs w:val="20"/>
              </w:rPr>
              <w:t>The CCG’s Medicines Management Team are able to advise around any medicines management implications, and to clarify any relevant mental health pathways.</w:t>
            </w:r>
          </w:p>
          <w:p w:rsidR="00007FDD" w:rsidRDefault="00507B2E" w:rsidP="00007FDD">
            <w:pPr>
              <w:pStyle w:val="ListParagraph"/>
              <w:ind w:left="459"/>
              <w:rPr>
                <w:rFonts w:ascii="Arial" w:hAnsi="Arial" w:cs="Arial"/>
                <w:sz w:val="20"/>
                <w:szCs w:val="20"/>
              </w:rPr>
            </w:pPr>
            <w:r>
              <w:rPr>
                <w:rFonts w:ascii="Arial" w:hAnsi="Arial" w:cs="Arial"/>
                <w:sz w:val="20"/>
                <w:szCs w:val="20"/>
              </w:rPr>
              <w:t>MPFT</w:t>
            </w:r>
            <w:r w:rsidRPr="00507B2E">
              <w:rPr>
                <w:rFonts w:ascii="Arial" w:hAnsi="Arial" w:cs="Arial"/>
                <w:sz w:val="20"/>
                <w:szCs w:val="20"/>
              </w:rPr>
              <w:t xml:space="preserve"> service shall provide advice, guidance and support on all aspects of mental health to primary care</w:t>
            </w:r>
            <w:r>
              <w:rPr>
                <w:rFonts w:ascii="Arial" w:hAnsi="Arial" w:cs="Arial"/>
                <w:sz w:val="20"/>
                <w:szCs w:val="20"/>
              </w:rPr>
              <w:t xml:space="preserve">  to </w:t>
            </w:r>
            <w:r w:rsidRPr="00507B2E">
              <w:rPr>
                <w:rFonts w:ascii="Arial" w:hAnsi="Arial" w:cs="Arial"/>
                <w:sz w:val="20"/>
                <w:szCs w:val="20"/>
              </w:rPr>
              <w:t xml:space="preserve">promote positive mental health within primary care ( staff, patients and public) and raise the profile of emotional wellbeing provide signposting to relevant community services; clarity regarding how and when to refer to secondary mental health services including to neuro development disorders, children and young people’s services. Encourage and support the management of patients who can be stabilised in </w:t>
            </w:r>
            <w:r w:rsidR="00007FDD">
              <w:rPr>
                <w:rFonts w:ascii="Arial" w:hAnsi="Arial" w:cs="Arial"/>
                <w:sz w:val="20"/>
                <w:szCs w:val="20"/>
              </w:rPr>
              <w:t>primary care.</w:t>
            </w:r>
          </w:p>
          <w:p w:rsidR="00007FDD" w:rsidRDefault="00007FDD" w:rsidP="00007FDD">
            <w:pPr>
              <w:pStyle w:val="ListParagraph"/>
              <w:ind w:left="459"/>
              <w:rPr>
                <w:rFonts w:ascii="Arial" w:hAnsi="Arial" w:cs="Arial"/>
                <w:sz w:val="20"/>
                <w:szCs w:val="20"/>
              </w:rPr>
            </w:pPr>
          </w:p>
          <w:p w:rsidR="00007FDD" w:rsidRPr="00007FDD" w:rsidRDefault="00007FDD" w:rsidP="00007FDD">
            <w:pPr>
              <w:pStyle w:val="ListParagraph"/>
              <w:ind w:left="459"/>
              <w:rPr>
                <w:rFonts w:ascii="Arial" w:hAnsi="Arial" w:cs="Arial"/>
                <w:sz w:val="20"/>
                <w:szCs w:val="20"/>
              </w:rPr>
            </w:pPr>
            <w:r w:rsidRPr="00007FDD">
              <w:rPr>
                <w:rFonts w:ascii="Arial" w:hAnsi="Arial" w:cs="Arial"/>
                <w:sz w:val="20"/>
                <w:szCs w:val="20"/>
              </w:rPr>
              <w:t>Practices are required to use point of care testing for cholesterol and blood sugar to ensure 1 visit for the patient and robust collection of data.  The price of the LES has been inflated to cover the cost of the testing strips.</w:t>
            </w:r>
          </w:p>
          <w:p w:rsidR="00141F0D" w:rsidRPr="00985DB7" w:rsidRDefault="00141F0D" w:rsidP="00C82780">
            <w:pPr>
              <w:spacing w:after="0"/>
              <w:jc w:val="both"/>
              <w:rPr>
                <w:rFonts w:ascii="Arial" w:hAnsi="Arial" w:cs="Arial"/>
                <w:sz w:val="20"/>
              </w:rPr>
            </w:pPr>
          </w:p>
        </w:tc>
      </w:tr>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hAnsi="Arial" w:cs="Arial"/>
                <w:b/>
                <w:sz w:val="20"/>
              </w:rPr>
            </w:pPr>
            <w:r w:rsidRPr="00985DB7">
              <w:rPr>
                <w:rFonts w:ascii="Arial" w:eastAsia="Arial" w:hAnsi="Arial" w:cs="Arial"/>
                <w:b/>
                <w:color w:val="F79546"/>
                <w:position w:val="-1"/>
                <w:sz w:val="20"/>
                <w:lang w:val="en-GB" w:eastAsia="en-US"/>
              </w:rPr>
              <w:lastRenderedPageBreak/>
              <w:t>4.</w:t>
            </w:r>
            <w:r w:rsidRPr="00985DB7">
              <w:rPr>
                <w:rFonts w:ascii="Arial" w:eastAsia="Arial" w:hAnsi="Arial" w:cs="Arial"/>
                <w:b/>
                <w:color w:val="F79546"/>
                <w:position w:val="-1"/>
                <w:sz w:val="20"/>
                <w:lang w:val="en-GB" w:eastAsia="en-US"/>
              </w:rPr>
              <w:tab/>
              <w:t>Applicable Service Standards</w:t>
            </w:r>
          </w:p>
        </w:tc>
      </w:tr>
      <w:tr w:rsidR="00235D08" w:rsidRPr="00985DB7" w:rsidTr="009D096C">
        <w:tc>
          <w:tcPr>
            <w:tcW w:w="8414" w:type="dxa"/>
            <w:shd w:val="clear" w:color="auto" w:fill="auto"/>
          </w:tcPr>
          <w:p w:rsidR="00235D08" w:rsidRPr="008949A3" w:rsidRDefault="00235D08" w:rsidP="002937AD">
            <w:pPr>
              <w:spacing w:after="0"/>
              <w:rPr>
                <w:rFonts w:ascii="Arial" w:hAnsi="Arial" w:cs="Arial"/>
                <w:sz w:val="20"/>
              </w:rPr>
            </w:pPr>
          </w:p>
          <w:p w:rsidR="00235D08" w:rsidRPr="008949A3" w:rsidRDefault="00235D08" w:rsidP="002937AD">
            <w:pPr>
              <w:spacing w:after="0"/>
              <w:rPr>
                <w:rFonts w:ascii="Arial" w:hAnsi="Arial" w:cs="Arial"/>
                <w:b/>
                <w:sz w:val="20"/>
              </w:rPr>
            </w:pPr>
            <w:r w:rsidRPr="008949A3">
              <w:rPr>
                <w:rFonts w:ascii="Arial" w:hAnsi="Arial" w:cs="Arial"/>
                <w:b/>
                <w:sz w:val="20"/>
              </w:rPr>
              <w:t>4.1</w:t>
            </w:r>
            <w:r w:rsidRPr="008949A3">
              <w:rPr>
                <w:rFonts w:ascii="Arial" w:hAnsi="Arial" w:cs="Arial"/>
                <w:b/>
                <w:sz w:val="20"/>
              </w:rPr>
              <w:tab/>
              <w:t>Applicable national standards (eg NICE)</w:t>
            </w:r>
          </w:p>
          <w:p w:rsidR="00235D08" w:rsidRPr="008949A3" w:rsidRDefault="00235D08" w:rsidP="009D096C">
            <w:pPr>
              <w:spacing w:after="0"/>
              <w:rPr>
                <w:rFonts w:ascii="Arial" w:hAnsi="Arial" w:cs="Arial"/>
                <w:sz w:val="20"/>
              </w:rPr>
            </w:pP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Common Mental Illness (CG123)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Anxiety: (CG113)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Depression (CG90)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Borderline Personality (CG78)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Eating Disorders (CG9) – due to be updated April 2017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Obsessive Compulsive Disorder (CG31) </w:t>
            </w:r>
          </w:p>
          <w:p w:rsidR="00E33A38" w:rsidRPr="008949A3" w:rsidRDefault="00E33A38" w:rsidP="008949A3">
            <w:pPr>
              <w:pStyle w:val="ListParagraph"/>
              <w:numPr>
                <w:ilvl w:val="0"/>
                <w:numId w:val="19"/>
              </w:numPr>
              <w:ind w:right="81"/>
              <w:jc w:val="both"/>
              <w:rPr>
                <w:rFonts w:ascii="Arial" w:hAnsi="Arial" w:cs="Arial"/>
                <w:sz w:val="20"/>
              </w:rPr>
            </w:pPr>
            <w:r w:rsidRPr="008949A3">
              <w:rPr>
                <w:rFonts w:ascii="Arial" w:hAnsi="Arial" w:cs="Arial"/>
                <w:sz w:val="20"/>
              </w:rPr>
              <w:t xml:space="preserve">NICE Guidance Post Traumatic Stress Disorder (CG 26) </w:t>
            </w:r>
          </w:p>
          <w:p w:rsidR="00E33A38" w:rsidRPr="008949A3" w:rsidRDefault="00E33A38" w:rsidP="00C82780">
            <w:pPr>
              <w:spacing w:after="0"/>
              <w:ind w:right="81"/>
              <w:jc w:val="both"/>
              <w:rPr>
                <w:rFonts w:ascii="Arial" w:hAnsi="Arial" w:cs="Arial"/>
                <w:sz w:val="20"/>
              </w:rPr>
            </w:pPr>
          </w:p>
          <w:p w:rsidR="00E33A38" w:rsidRPr="008949A3" w:rsidRDefault="00E33A38" w:rsidP="00C82780">
            <w:pPr>
              <w:spacing w:after="0"/>
              <w:ind w:right="81"/>
              <w:jc w:val="both"/>
              <w:rPr>
                <w:rFonts w:ascii="Arial" w:hAnsi="Arial" w:cs="Arial"/>
                <w:sz w:val="20"/>
              </w:rPr>
            </w:pPr>
            <w:r w:rsidRPr="008949A3">
              <w:rPr>
                <w:rFonts w:ascii="Arial" w:hAnsi="Arial" w:cs="Arial"/>
                <w:sz w:val="20"/>
              </w:rPr>
              <w:lastRenderedPageBreak/>
              <w:t xml:space="preserve">4.2 Applicable standards set out in Guidance and/or issued by a competent body (eg Royal Colleges) </w:t>
            </w:r>
          </w:p>
          <w:p w:rsidR="00E33A38" w:rsidRPr="008949A3" w:rsidRDefault="00E33A38" w:rsidP="002F74E5">
            <w:pPr>
              <w:spacing w:after="0"/>
              <w:ind w:left="743" w:right="81" w:hanging="425"/>
              <w:rPr>
                <w:rFonts w:ascii="Arial" w:hAnsi="Arial" w:cs="Arial"/>
                <w:sz w:val="20"/>
              </w:rPr>
            </w:pPr>
            <w:r w:rsidRPr="008949A3">
              <w:rPr>
                <w:rFonts w:ascii="Arial" w:hAnsi="Arial" w:cs="Arial"/>
                <w:sz w:val="20"/>
              </w:rPr>
              <w:sym w:font="Symbol" w:char="F0B7"/>
            </w:r>
            <w:r w:rsidRPr="008949A3">
              <w:rPr>
                <w:rFonts w:ascii="Arial" w:hAnsi="Arial" w:cs="Arial"/>
                <w:sz w:val="20"/>
              </w:rPr>
              <w:t xml:space="preserve"> </w:t>
            </w:r>
            <w:r w:rsidR="002F74E5">
              <w:rPr>
                <w:rFonts w:ascii="Arial" w:hAnsi="Arial" w:cs="Arial"/>
                <w:sz w:val="20"/>
              </w:rPr>
              <w:t xml:space="preserve">     </w:t>
            </w:r>
            <w:r w:rsidRPr="008949A3">
              <w:rPr>
                <w:rFonts w:ascii="Arial" w:hAnsi="Arial" w:cs="Arial"/>
                <w:sz w:val="20"/>
              </w:rPr>
              <w:t xml:space="preserve">World Health Organisation: The Mental Health Context </w:t>
            </w:r>
            <w:hyperlink r:id="rId7" w:history="1">
              <w:r w:rsidRPr="008949A3">
                <w:rPr>
                  <w:rStyle w:val="Hyperlink"/>
                  <w:rFonts w:ascii="Arial" w:hAnsi="Arial" w:cs="Arial"/>
                  <w:sz w:val="20"/>
                </w:rPr>
                <w:t>http://www.who.int/mental_health/policy/services/3_context_WEB_07.pdf</w:t>
              </w:r>
            </w:hyperlink>
            <w:r w:rsidRPr="008949A3">
              <w:rPr>
                <w:rFonts w:ascii="Arial" w:hAnsi="Arial" w:cs="Arial"/>
                <w:sz w:val="20"/>
              </w:rPr>
              <w:t xml:space="preserve"> </w:t>
            </w:r>
          </w:p>
          <w:p w:rsidR="008949A3" w:rsidRDefault="00E33A38" w:rsidP="002F74E5">
            <w:pPr>
              <w:spacing w:after="0"/>
              <w:ind w:left="743" w:right="81" w:hanging="425"/>
              <w:rPr>
                <w:rFonts w:ascii="Arial" w:hAnsi="Arial" w:cs="Arial"/>
                <w:sz w:val="20"/>
              </w:rPr>
            </w:pPr>
            <w:r w:rsidRPr="008949A3">
              <w:rPr>
                <w:rFonts w:ascii="Arial" w:hAnsi="Arial" w:cs="Arial"/>
                <w:sz w:val="20"/>
              </w:rPr>
              <w:sym w:font="Symbol" w:char="F0B7"/>
            </w:r>
            <w:r w:rsidRPr="008949A3">
              <w:rPr>
                <w:rFonts w:ascii="Arial" w:hAnsi="Arial" w:cs="Arial"/>
                <w:sz w:val="20"/>
              </w:rPr>
              <w:t xml:space="preserve"> </w:t>
            </w:r>
            <w:r w:rsidR="002F74E5">
              <w:rPr>
                <w:rFonts w:ascii="Arial" w:hAnsi="Arial" w:cs="Arial"/>
                <w:sz w:val="20"/>
              </w:rPr>
              <w:t xml:space="preserve">     </w:t>
            </w:r>
            <w:r w:rsidRPr="008949A3">
              <w:rPr>
                <w:rFonts w:ascii="Arial" w:hAnsi="Arial" w:cs="Arial"/>
                <w:sz w:val="20"/>
              </w:rPr>
              <w:t xml:space="preserve">Guidance issued by Royal College of General practitioners: meeting the competences set out in the new RCPsych curriculum -www.rcgp-curriculum.org.uk </w:t>
            </w:r>
          </w:p>
          <w:p w:rsidR="00E33A38" w:rsidRPr="008949A3" w:rsidRDefault="00E33A38" w:rsidP="002F74E5">
            <w:pPr>
              <w:spacing w:after="0"/>
              <w:ind w:left="743" w:right="81" w:hanging="425"/>
              <w:rPr>
                <w:rFonts w:ascii="Arial" w:hAnsi="Arial" w:cs="Arial"/>
                <w:sz w:val="20"/>
              </w:rPr>
            </w:pPr>
            <w:r w:rsidRPr="008949A3">
              <w:rPr>
                <w:rFonts w:ascii="Arial" w:hAnsi="Arial" w:cs="Arial"/>
                <w:sz w:val="20"/>
              </w:rPr>
              <w:sym w:font="Symbol" w:char="F0B7"/>
            </w:r>
            <w:r w:rsidRPr="008949A3">
              <w:rPr>
                <w:rFonts w:ascii="Arial" w:hAnsi="Arial" w:cs="Arial"/>
                <w:sz w:val="20"/>
              </w:rPr>
              <w:t xml:space="preserve"> </w:t>
            </w:r>
            <w:r w:rsidR="002F74E5">
              <w:rPr>
                <w:rFonts w:ascii="Arial" w:hAnsi="Arial" w:cs="Arial"/>
                <w:sz w:val="20"/>
              </w:rPr>
              <w:t xml:space="preserve">     </w:t>
            </w:r>
            <w:r w:rsidRPr="008949A3">
              <w:rPr>
                <w:rFonts w:ascii="Arial" w:hAnsi="Arial" w:cs="Arial"/>
                <w:sz w:val="20"/>
              </w:rPr>
              <w:t xml:space="preserve">The RCPsych website provides general advice and guidance for the management of mental health conditions in general practice </w:t>
            </w:r>
            <w:hyperlink r:id="rId8" w:history="1">
              <w:r w:rsidRPr="008949A3">
                <w:rPr>
                  <w:rStyle w:val="Hyperlink"/>
                  <w:rFonts w:ascii="Arial" w:hAnsi="Arial" w:cs="Arial"/>
                  <w:sz w:val="20"/>
                </w:rPr>
                <w:t>www.rcpsych.ac.uk</w:t>
              </w:r>
            </w:hyperlink>
            <w:r w:rsidRPr="008949A3">
              <w:rPr>
                <w:rFonts w:ascii="Arial" w:hAnsi="Arial" w:cs="Arial"/>
                <w:sz w:val="20"/>
              </w:rPr>
              <w:t xml:space="preserve">. </w:t>
            </w:r>
          </w:p>
          <w:p w:rsidR="00E33A38" w:rsidRPr="008949A3" w:rsidRDefault="00E33A38" w:rsidP="00C82780">
            <w:pPr>
              <w:spacing w:after="0"/>
              <w:ind w:right="81"/>
              <w:jc w:val="both"/>
              <w:rPr>
                <w:rFonts w:ascii="Arial" w:hAnsi="Arial" w:cs="Arial"/>
                <w:sz w:val="20"/>
              </w:rPr>
            </w:pPr>
          </w:p>
          <w:p w:rsidR="00235D08" w:rsidRPr="008949A3" w:rsidRDefault="00E33A38" w:rsidP="00E33A38">
            <w:pPr>
              <w:spacing w:after="0"/>
              <w:ind w:right="81"/>
              <w:jc w:val="both"/>
              <w:rPr>
                <w:rFonts w:ascii="Arial" w:hAnsi="Arial" w:cs="Arial"/>
                <w:sz w:val="20"/>
              </w:rPr>
            </w:pPr>
            <w:r w:rsidRPr="008949A3">
              <w:rPr>
                <w:rFonts w:ascii="Arial" w:hAnsi="Arial" w:cs="Arial"/>
                <w:sz w:val="20"/>
              </w:rPr>
              <w:t xml:space="preserve">4.3 Applicable local standards Please see Appendix xxx (separate document) </w:t>
            </w:r>
          </w:p>
        </w:tc>
      </w:tr>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eastAsia="Arial" w:hAnsi="Arial" w:cs="Arial"/>
                <w:b/>
                <w:color w:val="F79546"/>
                <w:position w:val="-1"/>
                <w:sz w:val="20"/>
                <w:lang w:val="en-GB" w:eastAsia="en-US"/>
              </w:rPr>
            </w:pPr>
            <w:r w:rsidRPr="00985DB7">
              <w:rPr>
                <w:rFonts w:ascii="Arial" w:eastAsia="Arial" w:hAnsi="Arial" w:cs="Arial"/>
                <w:b/>
                <w:color w:val="F79546"/>
                <w:position w:val="-1"/>
                <w:sz w:val="20"/>
                <w:lang w:val="en-GB" w:eastAsia="en-US"/>
              </w:rPr>
              <w:lastRenderedPageBreak/>
              <w:t>5.</w:t>
            </w:r>
            <w:r w:rsidRPr="00985DB7">
              <w:rPr>
                <w:rFonts w:ascii="Arial" w:eastAsia="Arial" w:hAnsi="Arial" w:cs="Arial"/>
                <w:b/>
                <w:color w:val="F79546"/>
                <w:position w:val="-1"/>
                <w:sz w:val="20"/>
                <w:lang w:val="en-GB" w:eastAsia="en-US"/>
              </w:rPr>
              <w:tab/>
              <w:t>Applicable quality requirements and CQUIN goals</w:t>
            </w:r>
          </w:p>
        </w:tc>
      </w:tr>
      <w:tr w:rsidR="00235D08" w:rsidRPr="00985DB7" w:rsidTr="009D096C">
        <w:tc>
          <w:tcPr>
            <w:tcW w:w="8414" w:type="dxa"/>
            <w:shd w:val="clear" w:color="auto" w:fill="auto"/>
          </w:tcPr>
          <w:p w:rsidR="00235D08" w:rsidRPr="00985DB7" w:rsidRDefault="00235D08" w:rsidP="009D096C">
            <w:pPr>
              <w:spacing w:after="0"/>
              <w:rPr>
                <w:rFonts w:ascii="Arial" w:hAnsi="Arial" w:cs="Arial"/>
                <w:sz w:val="20"/>
              </w:rPr>
            </w:pPr>
          </w:p>
          <w:p w:rsidR="00235D08" w:rsidRPr="00985DB7" w:rsidRDefault="00235D08" w:rsidP="00235D08">
            <w:pPr>
              <w:pStyle w:val="ListParagraph"/>
              <w:numPr>
                <w:ilvl w:val="1"/>
                <w:numId w:val="3"/>
              </w:numPr>
              <w:ind w:left="743" w:hanging="743"/>
              <w:rPr>
                <w:rFonts w:ascii="Arial" w:hAnsi="Arial" w:cs="Arial"/>
                <w:b/>
                <w:sz w:val="20"/>
                <w:szCs w:val="20"/>
              </w:rPr>
            </w:pPr>
            <w:r w:rsidRPr="00985DB7">
              <w:rPr>
                <w:rFonts w:ascii="Arial" w:hAnsi="Arial" w:cs="Arial"/>
                <w:b/>
                <w:sz w:val="20"/>
                <w:szCs w:val="20"/>
              </w:rPr>
              <w:t>Applicable Quality Requirements (See Schedule 4A-C)</w:t>
            </w:r>
          </w:p>
          <w:p w:rsidR="00235D08" w:rsidRPr="00985DB7" w:rsidRDefault="00235D08" w:rsidP="009D096C">
            <w:pPr>
              <w:pStyle w:val="ListParagraph"/>
              <w:ind w:left="743"/>
              <w:rPr>
                <w:rFonts w:ascii="Arial" w:hAnsi="Arial" w:cs="Arial"/>
                <w:b/>
                <w:sz w:val="20"/>
                <w:szCs w:val="20"/>
              </w:rPr>
            </w:pPr>
          </w:p>
          <w:p w:rsidR="00235D08" w:rsidRPr="00985DB7" w:rsidRDefault="00235D08" w:rsidP="00235D08">
            <w:pPr>
              <w:pStyle w:val="ListParagraph"/>
              <w:numPr>
                <w:ilvl w:val="1"/>
                <w:numId w:val="3"/>
              </w:numPr>
              <w:ind w:left="743" w:hanging="743"/>
              <w:rPr>
                <w:rFonts w:ascii="Arial" w:hAnsi="Arial" w:cs="Arial"/>
                <w:b/>
                <w:sz w:val="20"/>
                <w:szCs w:val="20"/>
              </w:rPr>
            </w:pPr>
            <w:r w:rsidRPr="00985DB7">
              <w:rPr>
                <w:rFonts w:ascii="Arial" w:hAnsi="Arial" w:cs="Arial"/>
                <w:b/>
                <w:sz w:val="20"/>
                <w:szCs w:val="20"/>
              </w:rPr>
              <w:t>Applicable CQUIN goals (See Schedule 4D)</w:t>
            </w:r>
          </w:p>
          <w:p w:rsidR="00235D08" w:rsidRPr="00985DB7" w:rsidRDefault="00235D08" w:rsidP="009D096C">
            <w:pPr>
              <w:spacing w:after="0"/>
              <w:rPr>
                <w:rFonts w:ascii="Arial" w:hAnsi="Arial" w:cs="Arial"/>
                <w:sz w:val="20"/>
              </w:rPr>
            </w:pPr>
          </w:p>
          <w:p w:rsidR="005457D4" w:rsidRPr="00985DB7" w:rsidRDefault="005457D4" w:rsidP="009D096C">
            <w:pPr>
              <w:spacing w:after="0"/>
              <w:rPr>
                <w:rFonts w:ascii="Arial" w:hAnsi="Arial" w:cs="Arial"/>
                <w:sz w:val="20"/>
              </w:rPr>
            </w:pPr>
            <w:r w:rsidRPr="00985DB7">
              <w:rPr>
                <w:rFonts w:ascii="Arial" w:hAnsi="Arial" w:cs="Arial"/>
                <w:sz w:val="20"/>
              </w:rPr>
              <w:t>Not Applicable.</w:t>
            </w:r>
          </w:p>
          <w:p w:rsidR="005457D4" w:rsidRPr="00985DB7" w:rsidRDefault="005457D4" w:rsidP="009D096C">
            <w:pPr>
              <w:spacing w:after="0"/>
              <w:rPr>
                <w:rFonts w:ascii="Arial" w:hAnsi="Arial" w:cs="Arial"/>
                <w:sz w:val="20"/>
              </w:rPr>
            </w:pPr>
          </w:p>
        </w:tc>
      </w:tr>
      <w:tr w:rsidR="00235D08" w:rsidRPr="00985DB7" w:rsidTr="00E24B8C">
        <w:tc>
          <w:tcPr>
            <w:tcW w:w="8414" w:type="dxa"/>
            <w:shd w:val="clear" w:color="auto" w:fill="4A442A" w:themeFill="background2" w:themeFillShade="40"/>
          </w:tcPr>
          <w:p w:rsidR="00235D08" w:rsidRPr="00985DB7" w:rsidRDefault="00235D08" w:rsidP="009D096C">
            <w:pPr>
              <w:spacing w:after="0" w:line="276" w:lineRule="auto"/>
              <w:rPr>
                <w:rFonts w:ascii="Arial" w:hAnsi="Arial" w:cs="Arial"/>
                <w:b/>
                <w:sz w:val="20"/>
              </w:rPr>
            </w:pPr>
            <w:r w:rsidRPr="00985DB7">
              <w:rPr>
                <w:rFonts w:ascii="Arial" w:eastAsia="Arial" w:hAnsi="Arial" w:cs="Arial"/>
                <w:b/>
                <w:color w:val="F79546"/>
                <w:position w:val="-1"/>
                <w:sz w:val="20"/>
                <w:lang w:val="en-GB" w:eastAsia="en-US"/>
              </w:rPr>
              <w:t>6.</w:t>
            </w:r>
            <w:r w:rsidRPr="00985DB7">
              <w:rPr>
                <w:rFonts w:ascii="Arial" w:eastAsia="Arial" w:hAnsi="Arial" w:cs="Arial"/>
                <w:b/>
                <w:color w:val="F79546"/>
                <w:position w:val="-1"/>
                <w:sz w:val="20"/>
                <w:lang w:val="en-GB" w:eastAsia="en-US"/>
              </w:rPr>
              <w:tab/>
              <w:t>Location of Provider Premises</w:t>
            </w:r>
          </w:p>
        </w:tc>
      </w:tr>
      <w:tr w:rsidR="00235D08" w:rsidRPr="00985DB7" w:rsidTr="009D096C">
        <w:tc>
          <w:tcPr>
            <w:tcW w:w="8414" w:type="dxa"/>
            <w:shd w:val="clear" w:color="auto" w:fill="auto"/>
          </w:tcPr>
          <w:p w:rsidR="00235D08" w:rsidRPr="00985DB7" w:rsidRDefault="00235D08" w:rsidP="009D096C">
            <w:pPr>
              <w:spacing w:after="0"/>
              <w:rPr>
                <w:rFonts w:ascii="Arial" w:hAnsi="Arial" w:cs="Arial"/>
                <w:sz w:val="20"/>
              </w:rPr>
            </w:pPr>
          </w:p>
          <w:p w:rsidR="00584289" w:rsidRPr="00985DB7" w:rsidRDefault="00584289" w:rsidP="00584289">
            <w:pPr>
              <w:spacing w:after="0"/>
              <w:rPr>
                <w:rFonts w:ascii="Arial" w:hAnsi="Arial" w:cs="Arial"/>
                <w:sz w:val="20"/>
              </w:rPr>
            </w:pPr>
            <w:r w:rsidRPr="00985DB7">
              <w:rPr>
                <w:rFonts w:ascii="Arial" w:hAnsi="Arial" w:cs="Arial"/>
                <w:sz w:val="20"/>
              </w:rPr>
              <w:t>The Provider’s Premises are located at the GP Practice.</w:t>
            </w:r>
          </w:p>
          <w:p w:rsidR="002937AD" w:rsidRPr="00985DB7" w:rsidRDefault="002937AD" w:rsidP="00C82780">
            <w:pPr>
              <w:spacing w:after="0"/>
              <w:rPr>
                <w:rFonts w:ascii="Arial" w:hAnsi="Arial" w:cs="Arial"/>
                <w:sz w:val="20"/>
              </w:rPr>
            </w:pPr>
          </w:p>
        </w:tc>
      </w:tr>
    </w:tbl>
    <w:p w:rsidR="00235D08" w:rsidRPr="00985DB7" w:rsidRDefault="00235D08" w:rsidP="00235D08">
      <w:pPr>
        <w:rPr>
          <w:rFonts w:ascii="Arial" w:hAnsi="Arial" w:cs="Arial"/>
          <w:sz w:val="20"/>
        </w:rPr>
      </w:pPr>
    </w:p>
    <w:sectPr w:rsidR="00235D08" w:rsidRPr="00985D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B00"/>
    <w:multiLevelType w:val="hybridMultilevel"/>
    <w:tmpl w:val="4490B45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3404458"/>
    <w:multiLevelType w:val="hybridMultilevel"/>
    <w:tmpl w:val="DB025656"/>
    <w:lvl w:ilvl="0" w:tplc="3CDA0706">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C50276"/>
    <w:multiLevelType w:val="hybridMultilevel"/>
    <w:tmpl w:val="0A56F35A"/>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1E6000C8"/>
    <w:multiLevelType w:val="hybridMultilevel"/>
    <w:tmpl w:val="5B02F39E"/>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3815152"/>
    <w:multiLevelType w:val="hybridMultilevel"/>
    <w:tmpl w:val="CBB8037A"/>
    <w:lvl w:ilvl="0" w:tplc="08090001">
      <w:start w:val="1"/>
      <w:numFmt w:val="bullet"/>
      <w:lvlText w:val=""/>
      <w:lvlJc w:val="left"/>
      <w:pPr>
        <w:ind w:left="1746" w:hanging="360"/>
      </w:pPr>
      <w:rPr>
        <w:rFonts w:ascii="Symbol" w:hAnsi="Symbol" w:hint="default"/>
      </w:rPr>
    </w:lvl>
    <w:lvl w:ilvl="1" w:tplc="08090003" w:tentative="1">
      <w:start w:val="1"/>
      <w:numFmt w:val="bullet"/>
      <w:lvlText w:val="o"/>
      <w:lvlJc w:val="left"/>
      <w:pPr>
        <w:ind w:left="2466" w:hanging="360"/>
      </w:pPr>
      <w:rPr>
        <w:rFonts w:ascii="Courier New" w:hAnsi="Courier New" w:cs="Courier New" w:hint="default"/>
      </w:rPr>
    </w:lvl>
    <w:lvl w:ilvl="2" w:tplc="08090005" w:tentative="1">
      <w:start w:val="1"/>
      <w:numFmt w:val="bullet"/>
      <w:lvlText w:val=""/>
      <w:lvlJc w:val="left"/>
      <w:pPr>
        <w:ind w:left="3186" w:hanging="360"/>
      </w:pPr>
      <w:rPr>
        <w:rFonts w:ascii="Wingdings" w:hAnsi="Wingdings" w:hint="default"/>
      </w:rPr>
    </w:lvl>
    <w:lvl w:ilvl="3" w:tplc="0809000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5">
    <w:nsid w:val="2C2000AD"/>
    <w:multiLevelType w:val="hybridMultilevel"/>
    <w:tmpl w:val="2D64B5DA"/>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nsid w:val="2C8A69ED"/>
    <w:multiLevelType w:val="hybridMultilevel"/>
    <w:tmpl w:val="F322F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E5649CE"/>
    <w:multiLevelType w:val="hybridMultilevel"/>
    <w:tmpl w:val="2EA6EF78"/>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AB6E84"/>
    <w:multiLevelType w:val="hybridMultilevel"/>
    <w:tmpl w:val="C76E5CB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5257F3"/>
    <w:multiLevelType w:val="hybridMultilevel"/>
    <w:tmpl w:val="8AF2E8A0"/>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3ADD634B"/>
    <w:multiLevelType w:val="hybridMultilevel"/>
    <w:tmpl w:val="0992772A"/>
    <w:lvl w:ilvl="0" w:tplc="A7E0CED2">
      <w:numFmt w:val="bullet"/>
      <w:lvlText w:val="•"/>
      <w:lvlJc w:val="left"/>
      <w:pPr>
        <w:ind w:left="1095" w:hanging="735"/>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B9F753C"/>
    <w:multiLevelType w:val="hybridMultilevel"/>
    <w:tmpl w:val="AA18CD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3BED24FB"/>
    <w:multiLevelType w:val="hybridMultilevel"/>
    <w:tmpl w:val="6EA6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3C794113"/>
    <w:multiLevelType w:val="hybridMultilevel"/>
    <w:tmpl w:val="8F948B68"/>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176E2A"/>
    <w:multiLevelType w:val="hybridMultilevel"/>
    <w:tmpl w:val="2A80C8A6"/>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nsid w:val="3DA070E2"/>
    <w:multiLevelType w:val="hybridMultilevel"/>
    <w:tmpl w:val="AEAC9D32"/>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nsid w:val="40677F76"/>
    <w:multiLevelType w:val="hybridMultilevel"/>
    <w:tmpl w:val="2B8AA3A2"/>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7147AF4"/>
    <w:multiLevelType w:val="hybridMultilevel"/>
    <w:tmpl w:val="56160F7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4E461D3B"/>
    <w:multiLevelType w:val="hybridMultilevel"/>
    <w:tmpl w:val="2FB48F2C"/>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0">
    <w:nsid w:val="57B15A63"/>
    <w:multiLevelType w:val="hybridMultilevel"/>
    <w:tmpl w:val="8DE05C0C"/>
    <w:lvl w:ilvl="0" w:tplc="A7E0CED2">
      <w:numFmt w:val="bullet"/>
      <w:lvlText w:val="•"/>
      <w:lvlJc w:val="left"/>
      <w:pPr>
        <w:ind w:left="1455" w:hanging="735"/>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5AC33DEE"/>
    <w:multiLevelType w:val="hybridMultilevel"/>
    <w:tmpl w:val="04800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1E7228"/>
    <w:multiLevelType w:val="hybridMultilevel"/>
    <w:tmpl w:val="6646F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F64FF3"/>
    <w:multiLevelType w:val="hybridMultilevel"/>
    <w:tmpl w:val="C60C720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A7A1B5D"/>
    <w:multiLevelType w:val="hybridMultilevel"/>
    <w:tmpl w:val="C4FED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63E0AE2"/>
    <w:multiLevelType w:val="hybridMultilevel"/>
    <w:tmpl w:val="7BE0CD1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8"/>
  </w:num>
  <w:num w:numId="3">
    <w:abstractNumId w:val="25"/>
  </w:num>
  <w:num w:numId="4">
    <w:abstractNumId w:val="6"/>
  </w:num>
  <w:num w:numId="5">
    <w:abstractNumId w:val="7"/>
  </w:num>
  <w:num w:numId="6">
    <w:abstractNumId w:val="23"/>
  </w:num>
  <w:num w:numId="7">
    <w:abstractNumId w:val="16"/>
  </w:num>
  <w:num w:numId="8">
    <w:abstractNumId w:val="26"/>
  </w:num>
  <w:num w:numId="9">
    <w:abstractNumId w:val="5"/>
  </w:num>
  <w:num w:numId="10">
    <w:abstractNumId w:val="18"/>
  </w:num>
  <w:num w:numId="11">
    <w:abstractNumId w:val="2"/>
  </w:num>
  <w:num w:numId="12">
    <w:abstractNumId w:val="0"/>
  </w:num>
  <w:num w:numId="13">
    <w:abstractNumId w:val="9"/>
  </w:num>
  <w:num w:numId="14">
    <w:abstractNumId w:val="10"/>
  </w:num>
  <w:num w:numId="15">
    <w:abstractNumId w:val="14"/>
  </w:num>
  <w:num w:numId="16">
    <w:abstractNumId w:val="17"/>
  </w:num>
  <w:num w:numId="17">
    <w:abstractNumId w:val="3"/>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4"/>
  </w:num>
  <w:num w:numId="22">
    <w:abstractNumId w:val="21"/>
  </w:num>
  <w:num w:numId="23">
    <w:abstractNumId w:val="11"/>
  </w:num>
  <w:num w:numId="24">
    <w:abstractNumId w:val="20"/>
  </w:num>
  <w:num w:numId="25">
    <w:abstractNumId w:val="13"/>
  </w:num>
  <w:num w:numId="26">
    <w:abstractNumId w:val="15"/>
  </w:num>
  <w:num w:numId="27">
    <w:abstractNumId w:val="12"/>
  </w:num>
  <w:num w:numId="2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08"/>
    <w:rsid w:val="0000674D"/>
    <w:rsid w:val="00007FDD"/>
    <w:rsid w:val="00052238"/>
    <w:rsid w:val="00134795"/>
    <w:rsid w:val="00141F0D"/>
    <w:rsid w:val="001A06E1"/>
    <w:rsid w:val="00233BDC"/>
    <w:rsid w:val="00235D08"/>
    <w:rsid w:val="00256BF0"/>
    <w:rsid w:val="002937AD"/>
    <w:rsid w:val="002A2882"/>
    <w:rsid w:val="002F74E5"/>
    <w:rsid w:val="0030021D"/>
    <w:rsid w:val="00316F3E"/>
    <w:rsid w:val="00347E53"/>
    <w:rsid w:val="003607A2"/>
    <w:rsid w:val="00386D3D"/>
    <w:rsid w:val="00391C57"/>
    <w:rsid w:val="00396251"/>
    <w:rsid w:val="00462F5A"/>
    <w:rsid w:val="0049014D"/>
    <w:rsid w:val="00497181"/>
    <w:rsid w:val="004B3D70"/>
    <w:rsid w:val="00507B2E"/>
    <w:rsid w:val="00510D30"/>
    <w:rsid w:val="005457D4"/>
    <w:rsid w:val="00584289"/>
    <w:rsid w:val="005F3157"/>
    <w:rsid w:val="005F5479"/>
    <w:rsid w:val="006A2A54"/>
    <w:rsid w:val="006A437E"/>
    <w:rsid w:val="006E7B5E"/>
    <w:rsid w:val="006F3330"/>
    <w:rsid w:val="00703224"/>
    <w:rsid w:val="00743136"/>
    <w:rsid w:val="007B14F2"/>
    <w:rsid w:val="007B2C9C"/>
    <w:rsid w:val="007C0A9F"/>
    <w:rsid w:val="00815232"/>
    <w:rsid w:val="008949A3"/>
    <w:rsid w:val="008A306A"/>
    <w:rsid w:val="008D5011"/>
    <w:rsid w:val="00917760"/>
    <w:rsid w:val="009612B4"/>
    <w:rsid w:val="00985DB7"/>
    <w:rsid w:val="009A2E24"/>
    <w:rsid w:val="009A4F58"/>
    <w:rsid w:val="009A75B6"/>
    <w:rsid w:val="009D096C"/>
    <w:rsid w:val="00B3629D"/>
    <w:rsid w:val="00B37F9F"/>
    <w:rsid w:val="00B5588F"/>
    <w:rsid w:val="00BD2BFB"/>
    <w:rsid w:val="00C1386B"/>
    <w:rsid w:val="00C82780"/>
    <w:rsid w:val="00CE4829"/>
    <w:rsid w:val="00D20972"/>
    <w:rsid w:val="00D500A0"/>
    <w:rsid w:val="00DA0B53"/>
    <w:rsid w:val="00E24B8C"/>
    <w:rsid w:val="00E33A38"/>
    <w:rsid w:val="00EA575F"/>
    <w:rsid w:val="00EA7342"/>
    <w:rsid w:val="00EF5F3A"/>
    <w:rsid w:val="00F17EA2"/>
    <w:rsid w:val="00FA3F5C"/>
    <w:rsid w:val="00FD0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semiHidden/>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semiHidden/>
    <w:rsid w:val="002937AD"/>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semiHidden/>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 w:type="character" w:customStyle="1" w:styleId="prod-title2">
    <w:name w:val="prod-title2"/>
    <w:basedOn w:val="DefaultParagraphFont"/>
    <w:rsid w:val="007C0A9F"/>
  </w:style>
  <w:style w:type="character" w:customStyle="1" w:styleId="published-date4">
    <w:name w:val="published-date4"/>
    <w:basedOn w:val="DefaultParagraphFont"/>
    <w:rsid w:val="007C0A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semiHidden/>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semiHidden/>
    <w:rsid w:val="002937AD"/>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semiHidden/>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 w:type="character" w:customStyle="1" w:styleId="prod-title2">
    <w:name w:val="prod-title2"/>
    <w:basedOn w:val="DefaultParagraphFont"/>
    <w:rsid w:val="007C0A9F"/>
  </w:style>
  <w:style w:type="character" w:customStyle="1" w:styleId="published-date4">
    <w:name w:val="published-date4"/>
    <w:basedOn w:val="DefaultParagraphFont"/>
    <w:rsid w:val="007C0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8946">
      <w:bodyDiv w:val="1"/>
      <w:marLeft w:val="0"/>
      <w:marRight w:val="0"/>
      <w:marTop w:val="0"/>
      <w:marBottom w:val="0"/>
      <w:divBdr>
        <w:top w:val="none" w:sz="0" w:space="0" w:color="auto"/>
        <w:left w:val="none" w:sz="0" w:space="0" w:color="auto"/>
        <w:bottom w:val="none" w:sz="0" w:space="0" w:color="auto"/>
        <w:right w:val="none" w:sz="0" w:space="0" w:color="auto"/>
      </w:divBdr>
    </w:div>
    <w:div w:id="61609330">
      <w:bodyDiv w:val="1"/>
      <w:marLeft w:val="0"/>
      <w:marRight w:val="0"/>
      <w:marTop w:val="0"/>
      <w:marBottom w:val="0"/>
      <w:divBdr>
        <w:top w:val="none" w:sz="0" w:space="0" w:color="auto"/>
        <w:left w:val="none" w:sz="0" w:space="0" w:color="auto"/>
        <w:bottom w:val="none" w:sz="0" w:space="0" w:color="auto"/>
        <w:right w:val="none" w:sz="0" w:space="0" w:color="auto"/>
      </w:divBdr>
    </w:div>
    <w:div w:id="143743816">
      <w:bodyDiv w:val="1"/>
      <w:marLeft w:val="0"/>
      <w:marRight w:val="0"/>
      <w:marTop w:val="0"/>
      <w:marBottom w:val="0"/>
      <w:divBdr>
        <w:top w:val="none" w:sz="0" w:space="0" w:color="auto"/>
        <w:left w:val="none" w:sz="0" w:space="0" w:color="auto"/>
        <w:bottom w:val="none" w:sz="0" w:space="0" w:color="auto"/>
        <w:right w:val="none" w:sz="0" w:space="0" w:color="auto"/>
      </w:divBdr>
    </w:div>
    <w:div w:id="348484081">
      <w:bodyDiv w:val="1"/>
      <w:marLeft w:val="0"/>
      <w:marRight w:val="0"/>
      <w:marTop w:val="0"/>
      <w:marBottom w:val="0"/>
      <w:divBdr>
        <w:top w:val="none" w:sz="0" w:space="0" w:color="auto"/>
        <w:left w:val="none" w:sz="0" w:space="0" w:color="auto"/>
        <w:bottom w:val="none" w:sz="0" w:space="0" w:color="auto"/>
        <w:right w:val="none" w:sz="0" w:space="0" w:color="auto"/>
      </w:divBdr>
    </w:div>
    <w:div w:id="508983277">
      <w:bodyDiv w:val="1"/>
      <w:marLeft w:val="0"/>
      <w:marRight w:val="0"/>
      <w:marTop w:val="0"/>
      <w:marBottom w:val="0"/>
      <w:divBdr>
        <w:top w:val="none" w:sz="0" w:space="0" w:color="auto"/>
        <w:left w:val="none" w:sz="0" w:space="0" w:color="auto"/>
        <w:bottom w:val="none" w:sz="0" w:space="0" w:color="auto"/>
        <w:right w:val="none" w:sz="0" w:space="0" w:color="auto"/>
      </w:divBdr>
    </w:div>
    <w:div w:id="521165812">
      <w:bodyDiv w:val="1"/>
      <w:marLeft w:val="0"/>
      <w:marRight w:val="0"/>
      <w:marTop w:val="0"/>
      <w:marBottom w:val="0"/>
      <w:divBdr>
        <w:top w:val="none" w:sz="0" w:space="0" w:color="auto"/>
        <w:left w:val="none" w:sz="0" w:space="0" w:color="auto"/>
        <w:bottom w:val="none" w:sz="0" w:space="0" w:color="auto"/>
        <w:right w:val="none" w:sz="0" w:space="0" w:color="auto"/>
      </w:divBdr>
    </w:div>
    <w:div w:id="556480614">
      <w:bodyDiv w:val="1"/>
      <w:marLeft w:val="0"/>
      <w:marRight w:val="0"/>
      <w:marTop w:val="0"/>
      <w:marBottom w:val="0"/>
      <w:divBdr>
        <w:top w:val="none" w:sz="0" w:space="0" w:color="auto"/>
        <w:left w:val="none" w:sz="0" w:space="0" w:color="auto"/>
        <w:bottom w:val="none" w:sz="0" w:space="0" w:color="auto"/>
        <w:right w:val="none" w:sz="0" w:space="0" w:color="auto"/>
      </w:divBdr>
    </w:div>
    <w:div w:id="671299953">
      <w:bodyDiv w:val="1"/>
      <w:marLeft w:val="0"/>
      <w:marRight w:val="0"/>
      <w:marTop w:val="0"/>
      <w:marBottom w:val="0"/>
      <w:divBdr>
        <w:top w:val="none" w:sz="0" w:space="0" w:color="auto"/>
        <w:left w:val="none" w:sz="0" w:space="0" w:color="auto"/>
        <w:bottom w:val="none" w:sz="0" w:space="0" w:color="auto"/>
        <w:right w:val="none" w:sz="0" w:space="0" w:color="auto"/>
      </w:divBdr>
    </w:div>
    <w:div w:id="744574977">
      <w:bodyDiv w:val="1"/>
      <w:marLeft w:val="0"/>
      <w:marRight w:val="0"/>
      <w:marTop w:val="0"/>
      <w:marBottom w:val="0"/>
      <w:divBdr>
        <w:top w:val="none" w:sz="0" w:space="0" w:color="auto"/>
        <w:left w:val="none" w:sz="0" w:space="0" w:color="auto"/>
        <w:bottom w:val="none" w:sz="0" w:space="0" w:color="auto"/>
        <w:right w:val="none" w:sz="0" w:space="0" w:color="auto"/>
      </w:divBdr>
    </w:div>
    <w:div w:id="759106377">
      <w:bodyDiv w:val="1"/>
      <w:marLeft w:val="0"/>
      <w:marRight w:val="0"/>
      <w:marTop w:val="0"/>
      <w:marBottom w:val="0"/>
      <w:divBdr>
        <w:top w:val="none" w:sz="0" w:space="0" w:color="auto"/>
        <w:left w:val="none" w:sz="0" w:space="0" w:color="auto"/>
        <w:bottom w:val="none" w:sz="0" w:space="0" w:color="auto"/>
        <w:right w:val="none" w:sz="0" w:space="0" w:color="auto"/>
      </w:divBdr>
    </w:div>
    <w:div w:id="766803099">
      <w:bodyDiv w:val="1"/>
      <w:marLeft w:val="0"/>
      <w:marRight w:val="0"/>
      <w:marTop w:val="0"/>
      <w:marBottom w:val="0"/>
      <w:divBdr>
        <w:top w:val="none" w:sz="0" w:space="0" w:color="auto"/>
        <w:left w:val="none" w:sz="0" w:space="0" w:color="auto"/>
        <w:bottom w:val="none" w:sz="0" w:space="0" w:color="auto"/>
        <w:right w:val="none" w:sz="0" w:space="0" w:color="auto"/>
      </w:divBdr>
      <w:divsChild>
        <w:div w:id="1242057904">
          <w:marLeft w:val="0"/>
          <w:marRight w:val="0"/>
          <w:marTop w:val="0"/>
          <w:marBottom w:val="0"/>
          <w:divBdr>
            <w:top w:val="none" w:sz="0" w:space="0" w:color="auto"/>
            <w:left w:val="none" w:sz="0" w:space="0" w:color="auto"/>
            <w:bottom w:val="none" w:sz="0" w:space="0" w:color="auto"/>
            <w:right w:val="none" w:sz="0" w:space="0" w:color="auto"/>
          </w:divBdr>
          <w:divsChild>
            <w:div w:id="256334910">
              <w:marLeft w:val="0"/>
              <w:marRight w:val="0"/>
              <w:marTop w:val="0"/>
              <w:marBottom w:val="0"/>
              <w:divBdr>
                <w:top w:val="none" w:sz="0" w:space="0" w:color="auto"/>
                <w:left w:val="none" w:sz="0" w:space="0" w:color="auto"/>
                <w:bottom w:val="none" w:sz="0" w:space="0" w:color="auto"/>
                <w:right w:val="none" w:sz="0" w:space="0" w:color="auto"/>
              </w:divBdr>
              <w:divsChild>
                <w:div w:id="119304450">
                  <w:marLeft w:val="0"/>
                  <w:marRight w:val="0"/>
                  <w:marTop w:val="0"/>
                  <w:marBottom w:val="0"/>
                  <w:divBdr>
                    <w:top w:val="none" w:sz="0" w:space="0" w:color="auto"/>
                    <w:left w:val="none" w:sz="0" w:space="0" w:color="auto"/>
                    <w:bottom w:val="none" w:sz="0" w:space="0" w:color="auto"/>
                    <w:right w:val="none" w:sz="0" w:space="0" w:color="auto"/>
                  </w:divBdr>
                  <w:divsChild>
                    <w:div w:id="114524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463739">
      <w:bodyDiv w:val="1"/>
      <w:marLeft w:val="0"/>
      <w:marRight w:val="0"/>
      <w:marTop w:val="0"/>
      <w:marBottom w:val="0"/>
      <w:divBdr>
        <w:top w:val="none" w:sz="0" w:space="0" w:color="auto"/>
        <w:left w:val="none" w:sz="0" w:space="0" w:color="auto"/>
        <w:bottom w:val="none" w:sz="0" w:space="0" w:color="auto"/>
        <w:right w:val="none" w:sz="0" w:space="0" w:color="auto"/>
      </w:divBdr>
    </w:div>
    <w:div w:id="953829993">
      <w:bodyDiv w:val="1"/>
      <w:marLeft w:val="0"/>
      <w:marRight w:val="0"/>
      <w:marTop w:val="0"/>
      <w:marBottom w:val="0"/>
      <w:divBdr>
        <w:top w:val="none" w:sz="0" w:space="0" w:color="auto"/>
        <w:left w:val="none" w:sz="0" w:space="0" w:color="auto"/>
        <w:bottom w:val="none" w:sz="0" w:space="0" w:color="auto"/>
        <w:right w:val="none" w:sz="0" w:space="0" w:color="auto"/>
      </w:divBdr>
    </w:div>
    <w:div w:id="971180460">
      <w:bodyDiv w:val="1"/>
      <w:marLeft w:val="0"/>
      <w:marRight w:val="0"/>
      <w:marTop w:val="0"/>
      <w:marBottom w:val="0"/>
      <w:divBdr>
        <w:top w:val="none" w:sz="0" w:space="0" w:color="auto"/>
        <w:left w:val="none" w:sz="0" w:space="0" w:color="auto"/>
        <w:bottom w:val="none" w:sz="0" w:space="0" w:color="auto"/>
        <w:right w:val="none" w:sz="0" w:space="0" w:color="auto"/>
      </w:divBdr>
    </w:div>
    <w:div w:id="1009721331">
      <w:bodyDiv w:val="1"/>
      <w:marLeft w:val="0"/>
      <w:marRight w:val="0"/>
      <w:marTop w:val="0"/>
      <w:marBottom w:val="0"/>
      <w:divBdr>
        <w:top w:val="none" w:sz="0" w:space="0" w:color="auto"/>
        <w:left w:val="none" w:sz="0" w:space="0" w:color="auto"/>
        <w:bottom w:val="none" w:sz="0" w:space="0" w:color="auto"/>
        <w:right w:val="none" w:sz="0" w:space="0" w:color="auto"/>
      </w:divBdr>
    </w:div>
    <w:div w:id="1053386243">
      <w:bodyDiv w:val="1"/>
      <w:marLeft w:val="0"/>
      <w:marRight w:val="0"/>
      <w:marTop w:val="0"/>
      <w:marBottom w:val="0"/>
      <w:divBdr>
        <w:top w:val="none" w:sz="0" w:space="0" w:color="auto"/>
        <w:left w:val="none" w:sz="0" w:space="0" w:color="auto"/>
        <w:bottom w:val="none" w:sz="0" w:space="0" w:color="auto"/>
        <w:right w:val="none" w:sz="0" w:space="0" w:color="auto"/>
      </w:divBdr>
    </w:div>
    <w:div w:id="1129518578">
      <w:bodyDiv w:val="1"/>
      <w:marLeft w:val="0"/>
      <w:marRight w:val="0"/>
      <w:marTop w:val="0"/>
      <w:marBottom w:val="0"/>
      <w:divBdr>
        <w:top w:val="none" w:sz="0" w:space="0" w:color="auto"/>
        <w:left w:val="none" w:sz="0" w:space="0" w:color="auto"/>
        <w:bottom w:val="none" w:sz="0" w:space="0" w:color="auto"/>
        <w:right w:val="none" w:sz="0" w:space="0" w:color="auto"/>
      </w:divBdr>
    </w:div>
    <w:div w:id="1130440894">
      <w:bodyDiv w:val="1"/>
      <w:marLeft w:val="0"/>
      <w:marRight w:val="0"/>
      <w:marTop w:val="0"/>
      <w:marBottom w:val="0"/>
      <w:divBdr>
        <w:top w:val="none" w:sz="0" w:space="0" w:color="auto"/>
        <w:left w:val="none" w:sz="0" w:space="0" w:color="auto"/>
        <w:bottom w:val="none" w:sz="0" w:space="0" w:color="auto"/>
        <w:right w:val="none" w:sz="0" w:space="0" w:color="auto"/>
      </w:divBdr>
    </w:div>
    <w:div w:id="1203400484">
      <w:bodyDiv w:val="1"/>
      <w:marLeft w:val="0"/>
      <w:marRight w:val="0"/>
      <w:marTop w:val="0"/>
      <w:marBottom w:val="0"/>
      <w:divBdr>
        <w:top w:val="none" w:sz="0" w:space="0" w:color="auto"/>
        <w:left w:val="none" w:sz="0" w:space="0" w:color="auto"/>
        <w:bottom w:val="none" w:sz="0" w:space="0" w:color="auto"/>
        <w:right w:val="none" w:sz="0" w:space="0" w:color="auto"/>
      </w:divBdr>
    </w:div>
    <w:div w:id="1318805032">
      <w:bodyDiv w:val="1"/>
      <w:marLeft w:val="0"/>
      <w:marRight w:val="0"/>
      <w:marTop w:val="0"/>
      <w:marBottom w:val="0"/>
      <w:divBdr>
        <w:top w:val="none" w:sz="0" w:space="0" w:color="auto"/>
        <w:left w:val="none" w:sz="0" w:space="0" w:color="auto"/>
        <w:bottom w:val="none" w:sz="0" w:space="0" w:color="auto"/>
        <w:right w:val="none" w:sz="0" w:space="0" w:color="auto"/>
      </w:divBdr>
    </w:div>
    <w:div w:id="1327367414">
      <w:bodyDiv w:val="1"/>
      <w:marLeft w:val="0"/>
      <w:marRight w:val="0"/>
      <w:marTop w:val="0"/>
      <w:marBottom w:val="0"/>
      <w:divBdr>
        <w:top w:val="none" w:sz="0" w:space="0" w:color="auto"/>
        <w:left w:val="none" w:sz="0" w:space="0" w:color="auto"/>
        <w:bottom w:val="none" w:sz="0" w:space="0" w:color="auto"/>
        <w:right w:val="none" w:sz="0" w:space="0" w:color="auto"/>
      </w:divBdr>
    </w:div>
    <w:div w:id="1507089384">
      <w:bodyDiv w:val="1"/>
      <w:marLeft w:val="0"/>
      <w:marRight w:val="0"/>
      <w:marTop w:val="0"/>
      <w:marBottom w:val="0"/>
      <w:divBdr>
        <w:top w:val="none" w:sz="0" w:space="0" w:color="auto"/>
        <w:left w:val="none" w:sz="0" w:space="0" w:color="auto"/>
        <w:bottom w:val="none" w:sz="0" w:space="0" w:color="auto"/>
        <w:right w:val="none" w:sz="0" w:space="0" w:color="auto"/>
      </w:divBdr>
    </w:div>
    <w:div w:id="1599605996">
      <w:bodyDiv w:val="1"/>
      <w:marLeft w:val="0"/>
      <w:marRight w:val="0"/>
      <w:marTop w:val="0"/>
      <w:marBottom w:val="0"/>
      <w:divBdr>
        <w:top w:val="none" w:sz="0" w:space="0" w:color="auto"/>
        <w:left w:val="none" w:sz="0" w:space="0" w:color="auto"/>
        <w:bottom w:val="none" w:sz="0" w:space="0" w:color="auto"/>
        <w:right w:val="none" w:sz="0" w:space="0" w:color="auto"/>
      </w:divBdr>
    </w:div>
    <w:div w:id="1694722048">
      <w:bodyDiv w:val="1"/>
      <w:marLeft w:val="0"/>
      <w:marRight w:val="0"/>
      <w:marTop w:val="0"/>
      <w:marBottom w:val="0"/>
      <w:divBdr>
        <w:top w:val="none" w:sz="0" w:space="0" w:color="auto"/>
        <w:left w:val="none" w:sz="0" w:space="0" w:color="auto"/>
        <w:bottom w:val="none" w:sz="0" w:space="0" w:color="auto"/>
        <w:right w:val="none" w:sz="0" w:space="0" w:color="auto"/>
      </w:divBdr>
    </w:div>
    <w:div w:id="1819416827">
      <w:bodyDiv w:val="1"/>
      <w:marLeft w:val="0"/>
      <w:marRight w:val="0"/>
      <w:marTop w:val="0"/>
      <w:marBottom w:val="0"/>
      <w:divBdr>
        <w:top w:val="none" w:sz="0" w:space="0" w:color="auto"/>
        <w:left w:val="none" w:sz="0" w:space="0" w:color="auto"/>
        <w:bottom w:val="none" w:sz="0" w:space="0" w:color="auto"/>
        <w:right w:val="none" w:sz="0" w:space="0" w:color="auto"/>
      </w:divBdr>
    </w:div>
    <w:div w:id="1880051594">
      <w:bodyDiv w:val="1"/>
      <w:marLeft w:val="0"/>
      <w:marRight w:val="0"/>
      <w:marTop w:val="0"/>
      <w:marBottom w:val="0"/>
      <w:divBdr>
        <w:top w:val="none" w:sz="0" w:space="0" w:color="auto"/>
        <w:left w:val="none" w:sz="0" w:space="0" w:color="auto"/>
        <w:bottom w:val="none" w:sz="0" w:space="0" w:color="auto"/>
        <w:right w:val="none" w:sz="0" w:space="0" w:color="auto"/>
      </w:divBdr>
    </w:div>
    <w:div w:id="1924289658">
      <w:bodyDiv w:val="1"/>
      <w:marLeft w:val="0"/>
      <w:marRight w:val="0"/>
      <w:marTop w:val="0"/>
      <w:marBottom w:val="0"/>
      <w:divBdr>
        <w:top w:val="none" w:sz="0" w:space="0" w:color="auto"/>
        <w:left w:val="none" w:sz="0" w:space="0" w:color="auto"/>
        <w:bottom w:val="none" w:sz="0" w:space="0" w:color="auto"/>
        <w:right w:val="none" w:sz="0" w:space="0" w:color="auto"/>
      </w:divBdr>
    </w:div>
    <w:div w:id="1981769092">
      <w:bodyDiv w:val="1"/>
      <w:marLeft w:val="0"/>
      <w:marRight w:val="0"/>
      <w:marTop w:val="0"/>
      <w:marBottom w:val="0"/>
      <w:divBdr>
        <w:top w:val="none" w:sz="0" w:space="0" w:color="auto"/>
        <w:left w:val="none" w:sz="0" w:space="0" w:color="auto"/>
        <w:bottom w:val="none" w:sz="0" w:space="0" w:color="auto"/>
        <w:right w:val="none" w:sz="0" w:space="0" w:color="auto"/>
      </w:divBdr>
    </w:div>
    <w:div w:id="2057847380">
      <w:bodyDiv w:val="1"/>
      <w:marLeft w:val="0"/>
      <w:marRight w:val="0"/>
      <w:marTop w:val="0"/>
      <w:marBottom w:val="0"/>
      <w:divBdr>
        <w:top w:val="none" w:sz="0" w:space="0" w:color="auto"/>
        <w:left w:val="none" w:sz="0" w:space="0" w:color="auto"/>
        <w:bottom w:val="none" w:sz="0" w:space="0" w:color="auto"/>
        <w:right w:val="none" w:sz="0" w:space="0" w:color="auto"/>
      </w:divBdr>
    </w:div>
    <w:div w:id="209265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psych.ac.uk" TargetMode="External"/><Relationship Id="rId3" Type="http://schemas.openxmlformats.org/officeDocument/2006/relationships/styles" Target="styles.xml"/><Relationship Id="rId7" Type="http://schemas.openxmlformats.org/officeDocument/2006/relationships/hyperlink" Target="http://www.who.int/mental_health/policy/services/3_context_WEB_0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6A121-040A-474C-9D8D-6C7C38AB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Durrans</dc:creator>
  <cp:lastModifiedBy>Bernadette Williams</cp:lastModifiedBy>
  <cp:revision>2</cp:revision>
  <dcterms:created xsi:type="dcterms:W3CDTF">2020-06-19T15:59:00Z</dcterms:created>
  <dcterms:modified xsi:type="dcterms:W3CDTF">2020-06-19T15:59:00Z</dcterms:modified>
</cp:coreProperties>
</file>