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2AC787" w14:textId="46B3A8BB" w:rsidR="000369A6" w:rsidRDefault="000369A6">
      <w:pPr>
        <w:pStyle w:val="BodyText"/>
        <w:rPr>
          <w:rFonts w:ascii="Times New Roman"/>
          <w:sz w:val="20"/>
        </w:rPr>
      </w:pPr>
    </w:p>
    <w:p w14:paraId="5489BFB0" w14:textId="77777777" w:rsidR="000369A6" w:rsidRDefault="000369A6">
      <w:pPr>
        <w:pStyle w:val="BodyText"/>
        <w:spacing w:before="10"/>
        <w:rPr>
          <w:rFonts w:ascii="Times New Roman"/>
          <w:sz w:val="20"/>
        </w:rPr>
      </w:pPr>
    </w:p>
    <w:p w14:paraId="5078583F" w14:textId="621CBFB4" w:rsidR="000369A6" w:rsidRDefault="005E3A31">
      <w:pPr>
        <w:tabs>
          <w:tab w:val="left" w:pos="3718"/>
        </w:tabs>
        <w:spacing w:before="1"/>
        <w:ind w:left="2998"/>
        <w:rPr>
          <w:b/>
          <w:sz w:val="24"/>
        </w:rPr>
      </w:pPr>
      <w:r>
        <w:rPr>
          <w:b/>
          <w:sz w:val="24"/>
        </w:rPr>
        <w:t>Serv</w:t>
      </w:r>
      <w:r w:rsidR="007A4E59">
        <w:rPr>
          <w:b/>
          <w:sz w:val="24"/>
        </w:rPr>
        <w:t>ice</w:t>
      </w:r>
      <w:r w:rsidR="007A4E59">
        <w:rPr>
          <w:b/>
          <w:spacing w:val="-7"/>
          <w:sz w:val="24"/>
        </w:rPr>
        <w:t xml:space="preserve"> </w:t>
      </w:r>
      <w:r w:rsidR="007A4E59">
        <w:rPr>
          <w:b/>
          <w:sz w:val="24"/>
        </w:rPr>
        <w:t>Specification</w:t>
      </w:r>
    </w:p>
    <w:p w14:paraId="33DE5216" w14:textId="77777777" w:rsidR="000369A6" w:rsidRDefault="000369A6">
      <w:pPr>
        <w:pStyle w:val="BodyText"/>
        <w:rPr>
          <w:b/>
          <w:sz w:val="20"/>
        </w:rPr>
      </w:pPr>
    </w:p>
    <w:p w14:paraId="72FFF0BA" w14:textId="77777777" w:rsidR="000369A6" w:rsidRDefault="000369A6">
      <w:pPr>
        <w:pStyle w:val="BodyText"/>
        <w:spacing w:before="5"/>
        <w:rPr>
          <w:b/>
          <w:sz w:val="20"/>
        </w:r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1"/>
        <w:gridCol w:w="6548"/>
      </w:tblGrid>
      <w:tr w:rsidR="000369A6" w14:paraId="58B3D4EF" w14:textId="77777777" w:rsidTr="00153DE9">
        <w:trPr>
          <w:trHeight w:hRule="exact" w:val="838"/>
        </w:trPr>
        <w:tc>
          <w:tcPr>
            <w:tcW w:w="2971" w:type="dxa"/>
            <w:shd w:val="clear" w:color="auto" w:fill="585858"/>
          </w:tcPr>
          <w:p w14:paraId="5FC30E7F" w14:textId="77777777" w:rsidR="000369A6" w:rsidRDefault="007A4E59">
            <w:pPr>
              <w:pStyle w:val="TableParagraph"/>
              <w:spacing w:line="360" w:lineRule="auto"/>
              <w:ind w:left="103" w:right="423"/>
              <w:rPr>
                <w:b/>
                <w:sz w:val="24"/>
              </w:rPr>
            </w:pPr>
            <w:r>
              <w:rPr>
                <w:b/>
                <w:color w:val="F79546"/>
                <w:sz w:val="24"/>
              </w:rPr>
              <w:t>Service Specification No.</w:t>
            </w:r>
          </w:p>
        </w:tc>
        <w:tc>
          <w:tcPr>
            <w:tcW w:w="6548" w:type="dxa"/>
          </w:tcPr>
          <w:p w14:paraId="591012F3" w14:textId="4B0EDB76" w:rsidR="000369A6" w:rsidRDefault="000369A6" w:rsidP="005E3A31">
            <w:pPr>
              <w:pStyle w:val="TableParagraph"/>
              <w:spacing w:line="272" w:lineRule="exact"/>
              <w:rPr>
                <w:sz w:val="24"/>
              </w:rPr>
            </w:pPr>
          </w:p>
        </w:tc>
      </w:tr>
      <w:tr w:rsidR="000369A6" w14:paraId="019234A4" w14:textId="77777777" w:rsidTr="00FE7402">
        <w:tc>
          <w:tcPr>
            <w:tcW w:w="2971" w:type="dxa"/>
            <w:shd w:val="clear" w:color="auto" w:fill="585858"/>
          </w:tcPr>
          <w:p w14:paraId="05FCBACE" w14:textId="77777777" w:rsidR="000369A6" w:rsidRDefault="007A4E59">
            <w:pPr>
              <w:pStyle w:val="TableParagraph"/>
              <w:spacing w:line="274" w:lineRule="exact"/>
              <w:ind w:left="103"/>
              <w:rPr>
                <w:b/>
                <w:sz w:val="24"/>
              </w:rPr>
            </w:pPr>
            <w:r>
              <w:rPr>
                <w:b/>
                <w:color w:val="F79546"/>
                <w:sz w:val="24"/>
              </w:rPr>
              <w:t>Service</w:t>
            </w:r>
          </w:p>
        </w:tc>
        <w:tc>
          <w:tcPr>
            <w:tcW w:w="6548" w:type="dxa"/>
          </w:tcPr>
          <w:p w14:paraId="4B972C7A" w14:textId="2FC91A6F" w:rsidR="000369A6" w:rsidRDefault="0041172B" w:rsidP="00C54224">
            <w:pPr>
              <w:pStyle w:val="TableParagraph"/>
              <w:spacing w:line="272" w:lineRule="exact"/>
              <w:ind w:left="101"/>
              <w:rPr>
                <w:sz w:val="24"/>
              </w:rPr>
            </w:pPr>
            <w:r>
              <w:rPr>
                <w:sz w:val="24"/>
              </w:rPr>
              <w:t xml:space="preserve">Safe prescribing of medicines locally commissioned service </w:t>
            </w:r>
          </w:p>
        </w:tc>
      </w:tr>
      <w:tr w:rsidR="000369A6" w14:paraId="2AD0E2B2" w14:textId="77777777" w:rsidTr="00153DE9">
        <w:tc>
          <w:tcPr>
            <w:tcW w:w="2971" w:type="dxa"/>
            <w:shd w:val="clear" w:color="auto" w:fill="585858"/>
          </w:tcPr>
          <w:p w14:paraId="60FA35C4" w14:textId="77777777" w:rsidR="000369A6" w:rsidRDefault="007A4E59">
            <w:pPr>
              <w:pStyle w:val="TableParagraph"/>
              <w:ind w:left="103"/>
              <w:rPr>
                <w:b/>
                <w:sz w:val="24"/>
              </w:rPr>
            </w:pPr>
            <w:r>
              <w:rPr>
                <w:b/>
                <w:color w:val="F79546"/>
                <w:sz w:val="24"/>
              </w:rPr>
              <w:t>Commissioner Lead</w:t>
            </w:r>
          </w:p>
        </w:tc>
        <w:tc>
          <w:tcPr>
            <w:tcW w:w="6548" w:type="dxa"/>
          </w:tcPr>
          <w:p w14:paraId="79ED9743" w14:textId="6B2F6CC2" w:rsidR="000369A6" w:rsidRDefault="007A4E59" w:rsidP="00C54224">
            <w:pPr>
              <w:pStyle w:val="TableParagraph"/>
              <w:ind w:left="101" w:right="1126"/>
              <w:rPr>
                <w:sz w:val="24"/>
              </w:rPr>
            </w:pPr>
            <w:r>
              <w:rPr>
                <w:sz w:val="24"/>
              </w:rPr>
              <w:t xml:space="preserve">NHS </w:t>
            </w:r>
            <w:r w:rsidR="00C54224">
              <w:rPr>
                <w:sz w:val="24"/>
              </w:rPr>
              <w:t>Shropshire CCG and NHS T</w:t>
            </w:r>
            <w:bookmarkStart w:id="0" w:name="_GoBack"/>
            <w:bookmarkEnd w:id="0"/>
            <w:r w:rsidR="00C54224">
              <w:rPr>
                <w:sz w:val="24"/>
              </w:rPr>
              <w:t xml:space="preserve">elford </w:t>
            </w:r>
            <w:r w:rsidR="00F530F9">
              <w:rPr>
                <w:sz w:val="24"/>
              </w:rPr>
              <w:t>and Wrekin CCG</w:t>
            </w:r>
          </w:p>
        </w:tc>
      </w:tr>
      <w:tr w:rsidR="000369A6" w14:paraId="0619D181" w14:textId="77777777" w:rsidTr="00153DE9">
        <w:trPr>
          <w:trHeight w:hRule="exact" w:val="422"/>
        </w:trPr>
        <w:tc>
          <w:tcPr>
            <w:tcW w:w="2971" w:type="dxa"/>
            <w:shd w:val="clear" w:color="auto" w:fill="585858"/>
          </w:tcPr>
          <w:p w14:paraId="2A959C29" w14:textId="77777777" w:rsidR="000369A6" w:rsidRDefault="007A4E59">
            <w:pPr>
              <w:pStyle w:val="TableParagraph"/>
              <w:spacing w:line="274" w:lineRule="exact"/>
              <w:ind w:left="103"/>
              <w:rPr>
                <w:b/>
                <w:sz w:val="24"/>
              </w:rPr>
            </w:pPr>
            <w:r>
              <w:rPr>
                <w:b/>
                <w:color w:val="F79546"/>
                <w:sz w:val="24"/>
              </w:rPr>
              <w:t>Provider Lead</w:t>
            </w:r>
          </w:p>
        </w:tc>
        <w:tc>
          <w:tcPr>
            <w:tcW w:w="6548" w:type="dxa"/>
          </w:tcPr>
          <w:p w14:paraId="48948E09" w14:textId="77777777" w:rsidR="000369A6" w:rsidRDefault="000369A6"/>
        </w:tc>
      </w:tr>
      <w:tr w:rsidR="000369A6" w14:paraId="1D431FDC" w14:textId="77777777" w:rsidTr="00153DE9">
        <w:trPr>
          <w:trHeight w:hRule="exact" w:val="425"/>
        </w:trPr>
        <w:tc>
          <w:tcPr>
            <w:tcW w:w="2971" w:type="dxa"/>
            <w:shd w:val="clear" w:color="auto" w:fill="585858"/>
          </w:tcPr>
          <w:p w14:paraId="2786FA5C" w14:textId="77777777" w:rsidR="000369A6" w:rsidRDefault="007A4E59">
            <w:pPr>
              <w:pStyle w:val="TableParagraph"/>
              <w:spacing w:line="275" w:lineRule="exact"/>
              <w:ind w:left="103"/>
              <w:rPr>
                <w:b/>
                <w:sz w:val="24"/>
              </w:rPr>
            </w:pPr>
            <w:r>
              <w:rPr>
                <w:b/>
                <w:color w:val="F79546"/>
                <w:sz w:val="24"/>
              </w:rPr>
              <w:t>Period</w:t>
            </w:r>
          </w:p>
        </w:tc>
        <w:tc>
          <w:tcPr>
            <w:tcW w:w="6548" w:type="dxa"/>
          </w:tcPr>
          <w:p w14:paraId="003F739E" w14:textId="4DA4E6E7" w:rsidR="000369A6" w:rsidRDefault="00130F4A">
            <w:pPr>
              <w:pStyle w:val="TableParagraph"/>
              <w:spacing w:before="50"/>
              <w:ind w:left="147"/>
            </w:pPr>
            <w:r>
              <w:rPr>
                <w:sz w:val="24"/>
              </w:rPr>
              <w:t>01/09/2020</w:t>
            </w:r>
            <w:r w:rsidR="00481D7B" w:rsidRPr="00481D7B">
              <w:rPr>
                <w:sz w:val="24"/>
              </w:rPr>
              <w:t>-31/03/2021</w:t>
            </w:r>
          </w:p>
        </w:tc>
      </w:tr>
      <w:tr w:rsidR="000369A6" w14:paraId="5E866472" w14:textId="77777777" w:rsidTr="00153DE9">
        <w:trPr>
          <w:trHeight w:hRule="exact" w:val="425"/>
        </w:trPr>
        <w:tc>
          <w:tcPr>
            <w:tcW w:w="2971" w:type="dxa"/>
            <w:shd w:val="clear" w:color="auto" w:fill="585858"/>
          </w:tcPr>
          <w:p w14:paraId="3329FBE3" w14:textId="77777777" w:rsidR="000369A6" w:rsidRDefault="007A4E59">
            <w:pPr>
              <w:pStyle w:val="TableParagraph"/>
              <w:spacing w:line="274" w:lineRule="exact"/>
              <w:ind w:left="103"/>
              <w:rPr>
                <w:b/>
                <w:sz w:val="24"/>
              </w:rPr>
            </w:pPr>
            <w:r>
              <w:rPr>
                <w:b/>
                <w:color w:val="F79546"/>
                <w:sz w:val="24"/>
              </w:rPr>
              <w:t>Date of Review</w:t>
            </w:r>
          </w:p>
        </w:tc>
        <w:tc>
          <w:tcPr>
            <w:tcW w:w="6548" w:type="dxa"/>
          </w:tcPr>
          <w:p w14:paraId="6CB107D5" w14:textId="63FE81C5" w:rsidR="000369A6" w:rsidRDefault="00481D7B">
            <w:pPr>
              <w:pStyle w:val="TableParagraph"/>
              <w:spacing w:line="272" w:lineRule="exact"/>
              <w:ind w:left="101"/>
              <w:rPr>
                <w:sz w:val="24"/>
              </w:rPr>
            </w:pPr>
            <w:r>
              <w:rPr>
                <w:sz w:val="24"/>
              </w:rPr>
              <w:t>January 2021</w:t>
            </w:r>
          </w:p>
        </w:tc>
      </w:tr>
    </w:tbl>
    <w:p w14:paraId="64C8632C" w14:textId="3AB46810" w:rsidR="000369A6" w:rsidRDefault="000369A6">
      <w:pPr>
        <w:pStyle w:val="BodyText"/>
        <w:spacing w:before="10"/>
        <w:rPr>
          <w:b/>
          <w:sz w:val="19"/>
        </w:rPr>
      </w:pPr>
    </w:p>
    <w:tbl>
      <w:tblPr>
        <w:tblW w:w="1009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96"/>
      </w:tblGrid>
      <w:tr w:rsidR="000369A6" w14:paraId="44638D55" w14:textId="77777777" w:rsidTr="00F530F9">
        <w:trPr>
          <w:trHeight w:hRule="exact" w:val="328"/>
        </w:trPr>
        <w:tc>
          <w:tcPr>
            <w:tcW w:w="10096" w:type="dxa"/>
            <w:shd w:val="clear" w:color="auto" w:fill="585858"/>
          </w:tcPr>
          <w:p w14:paraId="76916F30" w14:textId="77777777" w:rsidR="000369A6" w:rsidRDefault="007A4E59">
            <w:pPr>
              <w:pStyle w:val="TableParagraph"/>
              <w:tabs>
                <w:tab w:val="left" w:pos="823"/>
              </w:tabs>
              <w:spacing w:line="275" w:lineRule="exact"/>
              <w:ind w:left="103"/>
              <w:rPr>
                <w:b/>
                <w:sz w:val="24"/>
              </w:rPr>
            </w:pPr>
            <w:r>
              <w:rPr>
                <w:b/>
                <w:color w:val="F79546"/>
                <w:sz w:val="24"/>
              </w:rPr>
              <w:t>1.</w:t>
            </w:r>
            <w:r>
              <w:rPr>
                <w:b/>
                <w:color w:val="F79546"/>
                <w:sz w:val="24"/>
              </w:rPr>
              <w:tab/>
              <w:t>Population</w:t>
            </w:r>
            <w:r>
              <w:rPr>
                <w:b/>
                <w:color w:val="F79546"/>
                <w:spacing w:val="-2"/>
                <w:sz w:val="24"/>
              </w:rPr>
              <w:t xml:space="preserve"> </w:t>
            </w:r>
            <w:r>
              <w:rPr>
                <w:b/>
                <w:color w:val="F79546"/>
                <w:sz w:val="24"/>
              </w:rPr>
              <w:t>Needs</w:t>
            </w:r>
          </w:p>
        </w:tc>
      </w:tr>
      <w:tr w:rsidR="000369A6" w14:paraId="4A9F7B98" w14:textId="77777777" w:rsidTr="00F530F9">
        <w:tc>
          <w:tcPr>
            <w:tcW w:w="10096" w:type="dxa"/>
          </w:tcPr>
          <w:p w14:paraId="3A31CA53" w14:textId="1028434A" w:rsidR="000369A6" w:rsidRDefault="000369A6">
            <w:pPr>
              <w:pStyle w:val="TableParagraph"/>
              <w:spacing w:before="7"/>
              <w:rPr>
                <w:b/>
                <w:sz w:val="23"/>
              </w:rPr>
            </w:pPr>
          </w:p>
          <w:p w14:paraId="232BA0D4" w14:textId="004E1AA1" w:rsidR="000369A6" w:rsidRDefault="006C1493" w:rsidP="006C1493">
            <w:pPr>
              <w:pStyle w:val="TableParagraph"/>
              <w:numPr>
                <w:ilvl w:val="1"/>
                <w:numId w:val="12"/>
              </w:numPr>
              <w:jc w:val="both"/>
              <w:rPr>
                <w:b/>
                <w:sz w:val="24"/>
              </w:rPr>
            </w:pPr>
            <w:r w:rsidRPr="006C1493">
              <w:rPr>
                <w:b/>
                <w:sz w:val="24"/>
              </w:rPr>
              <w:t>Background</w:t>
            </w:r>
          </w:p>
          <w:p w14:paraId="2500E5D8" w14:textId="77777777" w:rsidR="00F530F9" w:rsidRDefault="00F530F9" w:rsidP="00F530F9">
            <w:pPr>
              <w:pStyle w:val="Default"/>
            </w:pPr>
          </w:p>
          <w:p w14:paraId="456D60D2" w14:textId="46D8FC4A" w:rsidR="0074348E" w:rsidRPr="0074348E" w:rsidRDefault="00F530F9" w:rsidP="00F530F9">
            <w:pPr>
              <w:pStyle w:val="TableParagraph"/>
              <w:ind w:left="103"/>
              <w:rPr>
                <w:sz w:val="24"/>
                <w:szCs w:val="24"/>
              </w:rPr>
            </w:pPr>
            <w:r w:rsidRPr="0074348E">
              <w:rPr>
                <w:sz w:val="24"/>
                <w:szCs w:val="24"/>
              </w:rPr>
              <w:t xml:space="preserve">Within NHS Shropshire CCG and Telford &amp; Wrekin CCG, the Shropshire and Telford Local Health Economy formulary </w:t>
            </w:r>
            <w:r w:rsidR="0074348E">
              <w:rPr>
                <w:sz w:val="24"/>
                <w:szCs w:val="24"/>
              </w:rPr>
              <w:t xml:space="preserve">classifies </w:t>
            </w:r>
            <w:r w:rsidRPr="0074348E">
              <w:rPr>
                <w:sz w:val="24"/>
                <w:szCs w:val="24"/>
              </w:rPr>
              <w:t>medicines as Red</w:t>
            </w:r>
            <w:r w:rsidR="001D0C58" w:rsidRPr="0074348E">
              <w:rPr>
                <w:sz w:val="24"/>
                <w:szCs w:val="24"/>
              </w:rPr>
              <w:t>/</w:t>
            </w:r>
            <w:r w:rsidRPr="0074348E">
              <w:rPr>
                <w:sz w:val="24"/>
                <w:szCs w:val="24"/>
              </w:rPr>
              <w:t>Amber/Green</w:t>
            </w:r>
            <w:r w:rsidR="001D0C58" w:rsidRPr="0074348E">
              <w:rPr>
                <w:sz w:val="24"/>
                <w:szCs w:val="24"/>
              </w:rPr>
              <w:t>/Black</w:t>
            </w:r>
            <w:r w:rsidRPr="0074348E">
              <w:rPr>
                <w:sz w:val="24"/>
                <w:szCs w:val="24"/>
              </w:rPr>
              <w:t xml:space="preserve"> to clarify which medicines GPs could reasonably be asked to prescribe</w:t>
            </w:r>
            <w:r w:rsidR="0074348E">
              <w:rPr>
                <w:sz w:val="24"/>
                <w:szCs w:val="24"/>
              </w:rPr>
              <w:t>,</w:t>
            </w:r>
            <w:r w:rsidRPr="0074348E">
              <w:rPr>
                <w:sz w:val="24"/>
                <w:szCs w:val="24"/>
              </w:rPr>
              <w:t xml:space="preserve"> and which medicines should remain the responsibility of hospital specialists. </w:t>
            </w:r>
            <w:r w:rsidR="0074348E" w:rsidRPr="0074348E">
              <w:rPr>
                <w:sz w:val="24"/>
                <w:szCs w:val="24"/>
              </w:rPr>
              <w:t>M</w:t>
            </w:r>
            <w:r w:rsidR="001D0C58" w:rsidRPr="0074348E">
              <w:rPr>
                <w:sz w:val="24"/>
                <w:szCs w:val="24"/>
              </w:rPr>
              <w:t>edicines</w:t>
            </w:r>
            <w:r w:rsidR="0074348E">
              <w:rPr>
                <w:sz w:val="24"/>
                <w:szCs w:val="24"/>
              </w:rPr>
              <w:t xml:space="preserve"> listed as a</w:t>
            </w:r>
            <w:r w:rsidR="0074348E" w:rsidRPr="0074348E">
              <w:rPr>
                <w:sz w:val="24"/>
                <w:szCs w:val="24"/>
              </w:rPr>
              <w:t>mber</w:t>
            </w:r>
            <w:r w:rsidR="001D0C58" w:rsidRPr="0074348E">
              <w:rPr>
                <w:sz w:val="24"/>
                <w:szCs w:val="24"/>
              </w:rPr>
              <w:t xml:space="preserve"> are considered suitable for prescribing in Primary Care following specialist (consultant or GPwSI) initiation or recommendation. </w:t>
            </w:r>
            <w:r w:rsidR="0074348E" w:rsidRPr="0074348E">
              <w:rPr>
                <w:sz w:val="24"/>
                <w:szCs w:val="24"/>
              </w:rPr>
              <w:t xml:space="preserve">Specialist initiation or recommendation is often required because of complex assessment and diagnostic criteria of the disease being treated. </w:t>
            </w:r>
            <w:r w:rsidR="001D0C58" w:rsidRPr="0074348E">
              <w:rPr>
                <w:sz w:val="24"/>
                <w:szCs w:val="24"/>
              </w:rPr>
              <w:t>Some of these medicines may require on-going communication between the specialist and the Primary Care prescriber using Prescribing Information (PI) or through the use of an Effecti</w:t>
            </w:r>
            <w:r w:rsidR="0074348E" w:rsidRPr="0074348E">
              <w:rPr>
                <w:sz w:val="24"/>
                <w:szCs w:val="24"/>
              </w:rPr>
              <w:t xml:space="preserve">ve Shared Care Agreement (ESCA); </w:t>
            </w:r>
            <w:r w:rsidR="001D0C58" w:rsidRPr="0074348E">
              <w:rPr>
                <w:sz w:val="24"/>
                <w:szCs w:val="24"/>
              </w:rPr>
              <w:t>this will be</w:t>
            </w:r>
            <w:r w:rsidR="0074348E" w:rsidRPr="0074348E">
              <w:rPr>
                <w:sz w:val="24"/>
                <w:szCs w:val="24"/>
              </w:rPr>
              <w:t xml:space="preserve"> clearly</w:t>
            </w:r>
            <w:r w:rsidR="001D0C58" w:rsidRPr="0074348E">
              <w:rPr>
                <w:sz w:val="24"/>
                <w:szCs w:val="24"/>
              </w:rPr>
              <w:t xml:space="preserve"> indicated</w:t>
            </w:r>
            <w:r w:rsidR="0074348E" w:rsidRPr="0074348E">
              <w:rPr>
                <w:sz w:val="24"/>
                <w:szCs w:val="24"/>
              </w:rPr>
              <w:t xml:space="preserve"> on the local health economy formulary. </w:t>
            </w:r>
            <w:r w:rsidR="0074348E">
              <w:rPr>
                <w:sz w:val="24"/>
                <w:szCs w:val="24"/>
              </w:rPr>
              <w:t>Th</w:t>
            </w:r>
            <w:r w:rsidR="008D0906">
              <w:rPr>
                <w:sz w:val="24"/>
                <w:szCs w:val="24"/>
              </w:rPr>
              <w:t>e local health economy formulary</w:t>
            </w:r>
            <w:r w:rsidR="0074348E">
              <w:rPr>
                <w:sz w:val="24"/>
                <w:szCs w:val="24"/>
              </w:rPr>
              <w:t xml:space="preserve"> can be accessed</w:t>
            </w:r>
            <w:r w:rsidR="005003B8">
              <w:rPr>
                <w:sz w:val="24"/>
                <w:szCs w:val="24"/>
              </w:rPr>
              <w:t xml:space="preserve"> here: </w:t>
            </w:r>
            <w:hyperlink r:id="rId9" w:history="1">
              <w:r w:rsidR="005003B8" w:rsidRPr="00421997">
                <w:rPr>
                  <w:rStyle w:val="Hyperlink"/>
                  <w:sz w:val="24"/>
                  <w:szCs w:val="24"/>
                </w:rPr>
                <w:t>http://www.shropshireandtelfordformulary.nhs.uk</w:t>
              </w:r>
            </w:hyperlink>
            <w:r w:rsidR="008D0906">
              <w:rPr>
                <w:sz w:val="24"/>
                <w:szCs w:val="24"/>
              </w:rPr>
              <w:t xml:space="preserve"> </w:t>
            </w:r>
          </w:p>
          <w:p w14:paraId="73AA300B" w14:textId="31CC09C0" w:rsidR="0074348E" w:rsidRDefault="004A184B" w:rsidP="004A184B">
            <w:pPr>
              <w:pStyle w:val="TableParagraph"/>
              <w:tabs>
                <w:tab w:val="left" w:pos="6615"/>
              </w:tabs>
              <w:ind w:left="103"/>
              <w:rPr>
                <w:rFonts w:ascii="Verdana" w:hAnsi="Verdana"/>
                <w:sz w:val="18"/>
                <w:szCs w:val="18"/>
              </w:rPr>
            </w:pPr>
            <w:r>
              <w:rPr>
                <w:rFonts w:ascii="Verdana" w:hAnsi="Verdana"/>
                <w:sz w:val="18"/>
                <w:szCs w:val="18"/>
              </w:rPr>
              <w:tab/>
            </w:r>
          </w:p>
          <w:p w14:paraId="7830F116" w14:textId="2577AA9A" w:rsidR="00F530F9" w:rsidRPr="00F530F9" w:rsidRDefault="0074348E" w:rsidP="00F530F9">
            <w:pPr>
              <w:pStyle w:val="TableParagraph"/>
              <w:ind w:left="103"/>
              <w:rPr>
                <w:sz w:val="28"/>
              </w:rPr>
            </w:pPr>
            <w:r>
              <w:rPr>
                <w:sz w:val="24"/>
                <w:szCs w:val="23"/>
              </w:rPr>
              <w:t>For medicines requiring</w:t>
            </w:r>
            <w:r w:rsidR="005003B8">
              <w:rPr>
                <w:sz w:val="24"/>
                <w:szCs w:val="23"/>
              </w:rPr>
              <w:t xml:space="preserve"> an</w:t>
            </w:r>
            <w:r>
              <w:rPr>
                <w:sz w:val="24"/>
                <w:szCs w:val="23"/>
              </w:rPr>
              <w:t xml:space="preserve"> ESCA</w:t>
            </w:r>
            <w:r w:rsidR="005003B8">
              <w:rPr>
                <w:sz w:val="24"/>
                <w:szCs w:val="23"/>
              </w:rPr>
              <w:t xml:space="preserve"> it is</w:t>
            </w:r>
            <w:r w:rsidR="00F530F9" w:rsidRPr="00F530F9">
              <w:rPr>
                <w:sz w:val="24"/>
                <w:szCs w:val="23"/>
              </w:rPr>
              <w:t xml:space="preserve"> considered reasonable to </w:t>
            </w:r>
            <w:r w:rsidR="00C00DB4">
              <w:rPr>
                <w:sz w:val="24"/>
                <w:szCs w:val="23"/>
              </w:rPr>
              <w:t xml:space="preserve">request </w:t>
            </w:r>
            <w:r w:rsidR="00F530F9" w:rsidRPr="00F530F9">
              <w:rPr>
                <w:sz w:val="24"/>
                <w:szCs w:val="23"/>
              </w:rPr>
              <w:t xml:space="preserve">transfer </w:t>
            </w:r>
            <w:r w:rsidR="00C00DB4">
              <w:rPr>
                <w:sz w:val="24"/>
                <w:szCs w:val="23"/>
              </w:rPr>
              <w:t xml:space="preserve">of </w:t>
            </w:r>
            <w:r w:rsidR="00F530F9" w:rsidRPr="00F530F9">
              <w:rPr>
                <w:sz w:val="24"/>
                <w:szCs w:val="23"/>
              </w:rPr>
              <w:t>prescribing responsibility after an agreed period of time. Prescribing responsibility is normally transferred between 2 and 4 months after initiation, providing the medicine has been shown to be tolerated. However, the hospital specialist will still follow-up the patient at least annually and more frequently if clinically necessary. Any GP who prescribes medication legally assumes responsibility for the drug and the consequences of its use. Prescribers have a duty to keep themselves informed about the medicines they prescribe, their appropriateness, effectiveness and cost. They should keep up to date with the relevant guidance on the use of the medicines and on the management of the patient’s condition.</w:t>
            </w:r>
          </w:p>
          <w:p w14:paraId="32299537" w14:textId="77777777" w:rsidR="006C1493" w:rsidRDefault="006C1493" w:rsidP="006C1493">
            <w:pPr>
              <w:pStyle w:val="TableParagraph"/>
              <w:ind w:left="838"/>
              <w:jc w:val="both"/>
              <w:rPr>
                <w:b/>
                <w:sz w:val="24"/>
              </w:rPr>
            </w:pPr>
          </w:p>
          <w:p w14:paraId="2AD955CF" w14:textId="47CE9D4F" w:rsidR="000369A6" w:rsidRDefault="007A07AA">
            <w:pPr>
              <w:pStyle w:val="TableParagraph"/>
              <w:ind w:left="103" w:right="99"/>
              <w:jc w:val="both"/>
              <w:rPr>
                <w:sz w:val="24"/>
              </w:rPr>
            </w:pPr>
            <w:r>
              <w:rPr>
                <w:sz w:val="24"/>
              </w:rPr>
              <w:t xml:space="preserve">The </w:t>
            </w:r>
            <w:r w:rsidR="0067111E">
              <w:rPr>
                <w:sz w:val="24"/>
              </w:rPr>
              <w:t>management</w:t>
            </w:r>
            <w:r>
              <w:rPr>
                <w:sz w:val="24"/>
              </w:rPr>
              <w:t xml:space="preserve"> of </w:t>
            </w:r>
            <w:r w:rsidR="0067111E">
              <w:rPr>
                <w:sz w:val="24"/>
              </w:rPr>
              <w:t xml:space="preserve">various clinical conditions within the fields of medicines rely on prescribing of </w:t>
            </w:r>
            <w:r w:rsidR="0088755C">
              <w:rPr>
                <w:sz w:val="24"/>
              </w:rPr>
              <w:t>medicines</w:t>
            </w:r>
            <w:r w:rsidR="0067111E">
              <w:rPr>
                <w:sz w:val="24"/>
              </w:rPr>
              <w:t xml:space="preserve"> that while clinically effective, require regular monitoring.</w:t>
            </w:r>
            <w:r w:rsidR="00212968">
              <w:rPr>
                <w:sz w:val="24"/>
              </w:rPr>
              <w:t xml:space="preserve"> T</w:t>
            </w:r>
            <w:r w:rsidR="007F6E21">
              <w:rPr>
                <w:sz w:val="24"/>
              </w:rPr>
              <w:t xml:space="preserve">his is due to </w:t>
            </w:r>
            <w:r w:rsidR="00BF46E0">
              <w:rPr>
                <w:sz w:val="24"/>
              </w:rPr>
              <w:t>the potentially</w:t>
            </w:r>
            <w:r w:rsidR="00333A67">
              <w:rPr>
                <w:sz w:val="24"/>
              </w:rPr>
              <w:t xml:space="preserve"> serious side effects </w:t>
            </w:r>
            <w:r w:rsidR="00E86DDF">
              <w:rPr>
                <w:sz w:val="24"/>
              </w:rPr>
              <w:t xml:space="preserve">that these drugs can occasionally </w:t>
            </w:r>
            <w:r w:rsidR="00783E52">
              <w:rPr>
                <w:sz w:val="24"/>
              </w:rPr>
              <w:t>cause,</w:t>
            </w:r>
            <w:r w:rsidR="00E66593">
              <w:rPr>
                <w:sz w:val="24"/>
              </w:rPr>
              <w:t xml:space="preserve"> </w:t>
            </w:r>
            <w:r w:rsidR="00090C2C">
              <w:rPr>
                <w:sz w:val="24"/>
              </w:rPr>
              <w:t>and</w:t>
            </w:r>
            <w:r w:rsidR="00855C9A">
              <w:rPr>
                <w:sz w:val="24"/>
              </w:rPr>
              <w:t xml:space="preserve"> </w:t>
            </w:r>
            <w:r w:rsidR="00E66593">
              <w:rPr>
                <w:sz w:val="24"/>
              </w:rPr>
              <w:t>r</w:t>
            </w:r>
            <w:r w:rsidR="00643389">
              <w:rPr>
                <w:sz w:val="24"/>
              </w:rPr>
              <w:t xml:space="preserve">egular monitoring </w:t>
            </w:r>
            <w:r w:rsidR="00E4410F">
              <w:rPr>
                <w:sz w:val="24"/>
              </w:rPr>
              <w:t xml:space="preserve">can reduce the </w:t>
            </w:r>
            <w:r w:rsidR="00E66593">
              <w:rPr>
                <w:sz w:val="24"/>
              </w:rPr>
              <w:t>incidence</w:t>
            </w:r>
            <w:r w:rsidR="0088755C">
              <w:rPr>
                <w:sz w:val="24"/>
              </w:rPr>
              <w:t xml:space="preserve"> of these </w:t>
            </w:r>
            <w:r w:rsidR="00B00448">
              <w:rPr>
                <w:sz w:val="24"/>
              </w:rPr>
              <w:t>occurring</w:t>
            </w:r>
            <w:r w:rsidR="00090C2C">
              <w:rPr>
                <w:sz w:val="24"/>
              </w:rPr>
              <w:t xml:space="preserve">. </w:t>
            </w:r>
            <w:r w:rsidR="00E66593">
              <w:rPr>
                <w:sz w:val="24"/>
              </w:rPr>
              <w:t xml:space="preserve"> </w:t>
            </w:r>
            <w:r w:rsidR="00FF6F3F">
              <w:rPr>
                <w:sz w:val="24"/>
              </w:rPr>
              <w:t xml:space="preserve">Some medicines also need greater discussion with the patient when they are initiated. </w:t>
            </w:r>
          </w:p>
          <w:p w14:paraId="5BC5B437" w14:textId="1A8CE928" w:rsidR="00783E52" w:rsidRDefault="00783E52">
            <w:pPr>
              <w:pStyle w:val="TableParagraph"/>
              <w:ind w:left="103" w:right="99"/>
              <w:jc w:val="both"/>
              <w:rPr>
                <w:sz w:val="24"/>
              </w:rPr>
            </w:pPr>
          </w:p>
        </w:tc>
      </w:tr>
      <w:tr w:rsidR="000369A6" w14:paraId="5C519115" w14:textId="77777777" w:rsidTr="00F530F9">
        <w:trPr>
          <w:trHeight w:hRule="exact" w:val="326"/>
        </w:trPr>
        <w:tc>
          <w:tcPr>
            <w:tcW w:w="10096" w:type="dxa"/>
            <w:shd w:val="clear" w:color="auto" w:fill="585858"/>
          </w:tcPr>
          <w:p w14:paraId="63555959" w14:textId="77777777" w:rsidR="000369A6" w:rsidRDefault="007A4E59">
            <w:pPr>
              <w:pStyle w:val="TableParagraph"/>
              <w:tabs>
                <w:tab w:val="left" w:pos="823"/>
              </w:tabs>
              <w:spacing w:line="274" w:lineRule="exact"/>
              <w:ind w:left="103"/>
              <w:rPr>
                <w:b/>
                <w:sz w:val="24"/>
              </w:rPr>
            </w:pPr>
            <w:r>
              <w:rPr>
                <w:b/>
                <w:color w:val="F79546"/>
                <w:sz w:val="24"/>
              </w:rPr>
              <w:lastRenderedPageBreak/>
              <w:t>2.</w:t>
            </w:r>
            <w:r>
              <w:rPr>
                <w:b/>
                <w:color w:val="F79546"/>
                <w:sz w:val="24"/>
              </w:rPr>
              <w:tab/>
              <w:t>Outcomes</w:t>
            </w:r>
          </w:p>
        </w:tc>
      </w:tr>
      <w:tr w:rsidR="000369A6" w14:paraId="1EE0A6FB" w14:textId="77777777" w:rsidTr="00F530F9">
        <w:tc>
          <w:tcPr>
            <w:tcW w:w="10096" w:type="dxa"/>
          </w:tcPr>
          <w:p w14:paraId="4037C618" w14:textId="77777777" w:rsidR="000369A6" w:rsidRPr="00BB1536" w:rsidRDefault="007A4E59">
            <w:pPr>
              <w:pStyle w:val="TableParagraph"/>
              <w:numPr>
                <w:ilvl w:val="1"/>
                <w:numId w:val="11"/>
              </w:numPr>
              <w:tabs>
                <w:tab w:val="left" w:pos="823"/>
                <w:tab w:val="left" w:pos="824"/>
              </w:tabs>
              <w:rPr>
                <w:b/>
                <w:sz w:val="24"/>
              </w:rPr>
            </w:pPr>
            <w:r w:rsidRPr="00BB1536">
              <w:rPr>
                <w:b/>
                <w:sz w:val="24"/>
                <w:u w:val="thick" w:color="00AF50"/>
              </w:rPr>
              <w:t>NHS Outcomes Framework Domains &amp;</w:t>
            </w:r>
            <w:r w:rsidRPr="00BB1536">
              <w:rPr>
                <w:b/>
                <w:spacing w:val="-12"/>
                <w:sz w:val="24"/>
                <w:u w:val="thick" w:color="00AF50"/>
              </w:rPr>
              <w:t xml:space="preserve"> </w:t>
            </w:r>
            <w:r w:rsidRPr="00BB1536">
              <w:rPr>
                <w:b/>
                <w:sz w:val="24"/>
                <w:u w:val="thick" w:color="00AF50"/>
              </w:rPr>
              <w:t>Indicators</w:t>
            </w:r>
          </w:p>
          <w:p w14:paraId="36B75D09" w14:textId="755CF93A" w:rsidR="000369A6" w:rsidRPr="00BB1536" w:rsidRDefault="00BB1536">
            <w:pPr>
              <w:pStyle w:val="TableParagraph"/>
              <w:spacing w:before="10"/>
              <w:rPr>
                <w:b/>
                <w:sz w:val="31"/>
              </w:rPr>
            </w:pPr>
            <w:r w:rsidRPr="00BB1536">
              <w:rPr>
                <w:noProof/>
                <w:lang w:val="en-GB" w:eastAsia="en-GB"/>
              </w:rPr>
              <mc:AlternateContent>
                <mc:Choice Requires="wpg">
                  <w:drawing>
                    <wp:anchor distT="0" distB="0" distL="114300" distR="114300" simplePos="0" relativeHeight="503297840" behindDoc="1" locked="0" layoutInCell="1" allowOverlap="1" wp14:anchorId="5B3183BF" wp14:editId="0F97F7BD">
                      <wp:simplePos x="0" y="0"/>
                      <wp:positionH relativeFrom="page">
                        <wp:posOffset>487045</wp:posOffset>
                      </wp:positionH>
                      <wp:positionV relativeFrom="page">
                        <wp:posOffset>364490</wp:posOffset>
                      </wp:positionV>
                      <wp:extent cx="4738370" cy="1852295"/>
                      <wp:effectExtent l="4445" t="4445" r="10160" b="10160"/>
                      <wp:wrapNone/>
                      <wp:docPr id="50"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38370" cy="1852295"/>
                                <a:chOff x="2287" y="11317"/>
                                <a:chExt cx="7462" cy="2917"/>
                              </a:xfrm>
                            </wpg:grpSpPr>
                            <wps:wsp>
                              <wps:cNvPr id="51" name="Line 45"/>
                              <wps:cNvCnPr>
                                <a:cxnSpLocks noChangeShapeType="1"/>
                              </wps:cNvCnPr>
                              <wps:spPr bwMode="auto">
                                <a:xfrm>
                                  <a:off x="2297" y="11327"/>
                                  <a:ext cx="1102"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2" name="Line 44"/>
                              <wps:cNvCnPr>
                                <a:cxnSpLocks noChangeShapeType="1"/>
                              </wps:cNvCnPr>
                              <wps:spPr bwMode="auto">
                                <a:xfrm>
                                  <a:off x="3408" y="11327"/>
                                  <a:ext cx="497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3" name="Line 43"/>
                              <wps:cNvCnPr>
                                <a:cxnSpLocks noChangeShapeType="1"/>
                              </wps:cNvCnPr>
                              <wps:spPr bwMode="auto">
                                <a:xfrm>
                                  <a:off x="8392" y="11327"/>
                                  <a:ext cx="134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4" name="Line 42"/>
                              <wps:cNvCnPr>
                                <a:cxnSpLocks noChangeShapeType="1"/>
                              </wps:cNvCnPr>
                              <wps:spPr bwMode="auto">
                                <a:xfrm>
                                  <a:off x="2297" y="11973"/>
                                  <a:ext cx="1102"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5" name="Line 41"/>
                              <wps:cNvCnPr>
                                <a:cxnSpLocks noChangeShapeType="1"/>
                              </wps:cNvCnPr>
                              <wps:spPr bwMode="auto">
                                <a:xfrm>
                                  <a:off x="3408" y="11973"/>
                                  <a:ext cx="497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6" name="Line 40"/>
                              <wps:cNvCnPr>
                                <a:cxnSpLocks noChangeShapeType="1"/>
                              </wps:cNvCnPr>
                              <wps:spPr bwMode="auto">
                                <a:xfrm>
                                  <a:off x="8392" y="11973"/>
                                  <a:ext cx="134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7" name="Line 39"/>
                              <wps:cNvCnPr>
                                <a:cxnSpLocks noChangeShapeType="1"/>
                              </wps:cNvCnPr>
                              <wps:spPr bwMode="auto">
                                <a:xfrm>
                                  <a:off x="2297" y="12616"/>
                                  <a:ext cx="1102"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8" name="Line 38"/>
                              <wps:cNvCnPr>
                                <a:cxnSpLocks noChangeShapeType="1"/>
                              </wps:cNvCnPr>
                              <wps:spPr bwMode="auto">
                                <a:xfrm>
                                  <a:off x="3408" y="12616"/>
                                  <a:ext cx="497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9" name="Line 37"/>
                              <wps:cNvCnPr>
                                <a:cxnSpLocks noChangeShapeType="1"/>
                              </wps:cNvCnPr>
                              <wps:spPr bwMode="auto">
                                <a:xfrm>
                                  <a:off x="8392" y="12616"/>
                                  <a:ext cx="134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60" name="Line 36"/>
                              <wps:cNvCnPr>
                                <a:cxnSpLocks noChangeShapeType="1"/>
                              </wps:cNvCnPr>
                              <wps:spPr bwMode="auto">
                                <a:xfrm>
                                  <a:off x="2297" y="13262"/>
                                  <a:ext cx="1102"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61" name="Line 35"/>
                              <wps:cNvCnPr>
                                <a:cxnSpLocks noChangeShapeType="1"/>
                              </wps:cNvCnPr>
                              <wps:spPr bwMode="auto">
                                <a:xfrm>
                                  <a:off x="3408" y="13262"/>
                                  <a:ext cx="497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62" name="Line 34"/>
                              <wps:cNvCnPr>
                                <a:cxnSpLocks noChangeShapeType="1"/>
                              </wps:cNvCnPr>
                              <wps:spPr bwMode="auto">
                                <a:xfrm>
                                  <a:off x="8392" y="13262"/>
                                  <a:ext cx="134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63" name="Line 33"/>
                              <wps:cNvCnPr>
                                <a:cxnSpLocks noChangeShapeType="1"/>
                              </wps:cNvCnPr>
                              <wps:spPr bwMode="auto">
                                <a:xfrm>
                                  <a:off x="2292" y="11322"/>
                                  <a:ext cx="0" cy="2907"/>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64" name="Line 32"/>
                              <wps:cNvCnPr>
                                <a:cxnSpLocks noChangeShapeType="1"/>
                              </wps:cNvCnPr>
                              <wps:spPr bwMode="auto">
                                <a:xfrm>
                                  <a:off x="2297" y="14224"/>
                                  <a:ext cx="1102"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65" name="Line 31"/>
                              <wps:cNvCnPr>
                                <a:cxnSpLocks noChangeShapeType="1"/>
                              </wps:cNvCnPr>
                              <wps:spPr bwMode="auto">
                                <a:xfrm>
                                  <a:off x="3404" y="11322"/>
                                  <a:ext cx="0" cy="2907"/>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66" name="Line 30"/>
                              <wps:cNvCnPr>
                                <a:cxnSpLocks noChangeShapeType="1"/>
                              </wps:cNvCnPr>
                              <wps:spPr bwMode="auto">
                                <a:xfrm>
                                  <a:off x="3408" y="14224"/>
                                  <a:ext cx="497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67" name="Line 29"/>
                              <wps:cNvCnPr>
                                <a:cxnSpLocks noChangeShapeType="1"/>
                              </wps:cNvCnPr>
                              <wps:spPr bwMode="auto">
                                <a:xfrm>
                                  <a:off x="8387" y="11322"/>
                                  <a:ext cx="0" cy="2907"/>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68" name="Line 28"/>
                              <wps:cNvCnPr>
                                <a:cxnSpLocks noChangeShapeType="1"/>
                              </wps:cNvCnPr>
                              <wps:spPr bwMode="auto">
                                <a:xfrm>
                                  <a:off x="8392" y="14224"/>
                                  <a:ext cx="134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69" name="Line 27"/>
                              <wps:cNvCnPr>
                                <a:cxnSpLocks noChangeShapeType="1"/>
                              </wps:cNvCnPr>
                              <wps:spPr bwMode="auto">
                                <a:xfrm>
                                  <a:off x="9744" y="11322"/>
                                  <a:ext cx="0" cy="2907"/>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DB5C292" id="Group 26" o:spid="_x0000_s1026" style="position:absolute;margin-left:38.35pt;margin-top:28.7pt;width:373.1pt;height:145.85pt;z-index:-18640;mso-position-horizontal-relative:page;mso-position-vertical-relative:page" coordorigin="2287,11317" coordsize="7462,29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">
                      <v:line id="Line 45" o:spid="_x0000_s1027" style="position:absolute;visibility:visible;mso-wrap-style:square" from="2297,11327" to="3399,11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" strokeweight=".48pt"/>
                      <v:line id="Line 44" o:spid="_x0000_s1028" style="position:absolute;visibility:visible;mso-wrap-style:square" from="3408,11327" to="8382,11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" strokeweight=".48pt"/>
                      <v:line id="Line 43" o:spid="_x0000_s1029" style="position:absolute;visibility:visible;mso-wrap-style:square" from="8392,11327" to="9739,11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" strokeweight=".48pt"/>
                      <v:line id="Line 42" o:spid="_x0000_s1030" style="position:absolute;visibility:visible;mso-wrap-style:square" from="2297,11973" to="3399,119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" strokeweight=".48pt"/>
                      <v:line id="Line 41" o:spid="_x0000_s1031" style="position:absolute;visibility:visible;mso-wrap-style:square" from="3408,11973" to="8382,119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" strokeweight=".48pt"/>
                      <v:line id="Line 40" o:spid="_x0000_s1032" style="position:absolute;visibility:visible;mso-wrap-style:square" from="8392,11973" to="9739,119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" strokeweight=".48pt"/>
                      <v:line id="Line 39" o:spid="_x0000_s1033" style="position:absolute;visibility:visible;mso-wrap-style:square" from="2297,12616" to="3399,126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" strokeweight=".48pt"/>
                      <v:line id="Line 38" o:spid="_x0000_s1034" style="position:absolute;visibility:visible;mso-wrap-style:square" from="3408,12616" to="8382,126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" strokeweight=".48pt"/>
                      <v:line id="Line 37" o:spid="_x0000_s1035" style="position:absolute;visibility:visible;mso-wrap-style:square" from="8392,12616" to="9739,126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" strokeweight=".48pt"/>
                      <v:line id="Line 36" o:spid="_x0000_s1036" style="position:absolute;visibility:visible;mso-wrap-style:square" from="2297,13262" to="3399,13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" strokeweight=".48pt"/>
                      <v:line id="Line 35" o:spid="_x0000_s1037" style="position:absolute;visibility:visible;mso-wrap-style:square" from="3408,13262" to="8382,13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" strokeweight=".48pt"/>
                      <v:line id="Line 34" o:spid="_x0000_s1038" style="position:absolute;visibility:visible;mso-wrap-style:square" from="8392,13262" to="9739,13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" strokeweight=".48pt"/>
                      <v:line id="Line 33" o:spid="_x0000_s1039" style="position:absolute;visibility:visible;mso-wrap-style:square" from="2292,11322" to="2292,14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" strokeweight=".48pt"/>
                      <v:line id="Line 32" o:spid="_x0000_s1040" style="position:absolute;visibility:visible;mso-wrap-style:square" from="2297,14224" to="3399,142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" strokeweight=".48pt"/>
                      <v:line id="Line 31" o:spid="_x0000_s1041" style="position:absolute;visibility:visible;mso-wrap-style:square" from="3404,11322" to="3404,14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" strokeweight=".48pt"/>
                      <v:line id="Line 30" o:spid="_x0000_s1042" style="position:absolute;visibility:visible;mso-wrap-style:square" from="3408,14224" to="8382,142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" strokeweight=".48pt"/>
                      <v:line id="Line 29" o:spid="_x0000_s1043" style="position:absolute;visibility:visible;mso-wrap-style:square" from="8387,11322" to="8387,14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" strokeweight=".48pt"/>
                      <v:line id="Line 28" o:spid="_x0000_s1044" style="position:absolute;visibility:visible;mso-wrap-style:square" from="8392,14224" to="9739,142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" strokeweight=".48pt"/>
                      <v:line id="Line 27" o:spid="_x0000_s1045" style="position:absolute;visibility:visible;mso-wrap-style:square" from="9744,11322" to="9744,14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" strokeweight=".48pt"/>
                      <w10:wrap anchorx="page" anchory="page"/>
                    </v:group>
                  </w:pict>
                </mc:Fallback>
              </mc:AlternateContent>
            </w:r>
          </w:p>
          <w:p w14:paraId="337905B3" w14:textId="01B4A27C" w:rsidR="000369A6" w:rsidRPr="00BB1536" w:rsidRDefault="007A4E59">
            <w:pPr>
              <w:pStyle w:val="TableParagraph"/>
              <w:tabs>
                <w:tab w:val="left" w:pos="2066"/>
                <w:tab w:val="left" w:pos="7049"/>
              </w:tabs>
              <w:ind w:left="955"/>
              <w:rPr>
                <w:b/>
                <w:sz w:val="24"/>
              </w:rPr>
            </w:pPr>
            <w:r w:rsidRPr="00BB1536">
              <w:rPr>
                <w:b/>
                <w:sz w:val="24"/>
              </w:rPr>
              <w:t>Domain</w:t>
            </w:r>
            <w:r w:rsidRPr="00BB1536">
              <w:rPr>
                <w:b/>
                <w:sz w:val="24"/>
              </w:rPr>
              <w:tab/>
              <w:t>Enhancing quality of life for</w:t>
            </w:r>
            <w:r w:rsidRPr="00BB1536">
              <w:rPr>
                <w:b/>
                <w:spacing w:val="-4"/>
                <w:sz w:val="24"/>
              </w:rPr>
              <w:t xml:space="preserve"> </w:t>
            </w:r>
            <w:r w:rsidRPr="00BB1536">
              <w:rPr>
                <w:b/>
                <w:sz w:val="24"/>
              </w:rPr>
              <w:t>people</w:t>
            </w:r>
            <w:r w:rsidRPr="00BB1536">
              <w:rPr>
                <w:b/>
                <w:spacing w:val="-4"/>
                <w:sz w:val="24"/>
              </w:rPr>
              <w:t xml:space="preserve"> </w:t>
            </w:r>
            <w:r w:rsidRPr="00BB1536">
              <w:rPr>
                <w:b/>
                <w:sz w:val="24"/>
              </w:rPr>
              <w:t>with</w:t>
            </w:r>
            <w:r w:rsidRPr="00BB1536">
              <w:rPr>
                <w:b/>
                <w:sz w:val="24"/>
              </w:rPr>
              <w:tab/>
              <w:t>x</w:t>
            </w:r>
          </w:p>
          <w:p w14:paraId="44DC7F4A" w14:textId="27E22CE2" w:rsidR="000369A6" w:rsidRPr="00BB1536" w:rsidRDefault="007A4E59">
            <w:pPr>
              <w:pStyle w:val="TableParagraph"/>
              <w:numPr>
                <w:ilvl w:val="2"/>
                <w:numId w:val="11"/>
              </w:numPr>
              <w:tabs>
                <w:tab w:val="left" w:pos="2066"/>
                <w:tab w:val="left" w:pos="2067"/>
              </w:tabs>
              <w:spacing w:before="40"/>
              <w:ind w:hanging="1111"/>
              <w:rPr>
                <w:b/>
                <w:sz w:val="24"/>
              </w:rPr>
            </w:pPr>
            <w:r w:rsidRPr="00BB1536">
              <w:rPr>
                <w:b/>
                <w:sz w:val="24"/>
              </w:rPr>
              <w:t>long-term</w:t>
            </w:r>
            <w:r w:rsidRPr="00BB1536">
              <w:rPr>
                <w:b/>
                <w:spacing w:val="-2"/>
                <w:sz w:val="24"/>
              </w:rPr>
              <w:t xml:space="preserve"> </w:t>
            </w:r>
            <w:r w:rsidRPr="00BB1536">
              <w:rPr>
                <w:b/>
                <w:sz w:val="24"/>
              </w:rPr>
              <w:t>conditions</w:t>
            </w:r>
          </w:p>
          <w:p w14:paraId="5A0C1CDD" w14:textId="5CBE0DA9" w:rsidR="000369A6" w:rsidRPr="00BB1536" w:rsidRDefault="007A4E59">
            <w:pPr>
              <w:pStyle w:val="TableParagraph"/>
              <w:tabs>
                <w:tab w:val="left" w:pos="2066"/>
                <w:tab w:val="left" w:pos="7049"/>
              </w:tabs>
              <w:spacing w:before="52"/>
              <w:ind w:left="955"/>
              <w:rPr>
                <w:b/>
                <w:sz w:val="24"/>
              </w:rPr>
            </w:pPr>
            <w:r w:rsidRPr="00BB1536">
              <w:rPr>
                <w:b/>
                <w:sz w:val="24"/>
              </w:rPr>
              <w:t>Domain</w:t>
            </w:r>
            <w:r w:rsidRPr="00BB1536">
              <w:rPr>
                <w:b/>
                <w:sz w:val="24"/>
              </w:rPr>
              <w:tab/>
              <w:t>Helping people to recover</w:t>
            </w:r>
            <w:r w:rsidRPr="00BB1536">
              <w:rPr>
                <w:b/>
                <w:spacing w:val="-5"/>
                <w:sz w:val="24"/>
              </w:rPr>
              <w:t xml:space="preserve"> </w:t>
            </w:r>
            <w:r w:rsidRPr="00BB1536">
              <w:rPr>
                <w:b/>
                <w:sz w:val="24"/>
              </w:rPr>
              <w:t>from</w:t>
            </w:r>
            <w:r w:rsidRPr="00BB1536">
              <w:rPr>
                <w:b/>
                <w:spacing w:val="-2"/>
                <w:sz w:val="24"/>
              </w:rPr>
              <w:t xml:space="preserve"> </w:t>
            </w:r>
            <w:r w:rsidRPr="00BB1536">
              <w:rPr>
                <w:b/>
                <w:sz w:val="24"/>
              </w:rPr>
              <w:t>episodes</w:t>
            </w:r>
            <w:r w:rsidRPr="00BB1536">
              <w:rPr>
                <w:b/>
                <w:sz w:val="24"/>
              </w:rPr>
              <w:tab/>
              <w:t>x</w:t>
            </w:r>
          </w:p>
          <w:p w14:paraId="1DBC221B" w14:textId="51D06A32" w:rsidR="000369A6" w:rsidRPr="00BB1536" w:rsidRDefault="007A4E59">
            <w:pPr>
              <w:pStyle w:val="TableParagraph"/>
              <w:numPr>
                <w:ilvl w:val="2"/>
                <w:numId w:val="11"/>
              </w:numPr>
              <w:tabs>
                <w:tab w:val="left" w:pos="2066"/>
                <w:tab w:val="left" w:pos="2067"/>
              </w:tabs>
              <w:spacing w:before="40"/>
              <w:ind w:hanging="1111"/>
              <w:rPr>
                <w:b/>
                <w:sz w:val="24"/>
              </w:rPr>
            </w:pPr>
            <w:r w:rsidRPr="00BB1536">
              <w:rPr>
                <w:b/>
                <w:sz w:val="24"/>
              </w:rPr>
              <w:t>of ill-health or following</w:t>
            </w:r>
            <w:r w:rsidRPr="00BB1536">
              <w:rPr>
                <w:b/>
                <w:spacing w:val="-3"/>
                <w:sz w:val="24"/>
              </w:rPr>
              <w:t xml:space="preserve"> </w:t>
            </w:r>
            <w:r w:rsidRPr="00BB1536">
              <w:rPr>
                <w:b/>
                <w:sz w:val="24"/>
              </w:rPr>
              <w:t>injury</w:t>
            </w:r>
          </w:p>
          <w:p w14:paraId="557514CA" w14:textId="77777777" w:rsidR="000369A6" w:rsidRPr="00BB1536" w:rsidRDefault="007A4E59">
            <w:pPr>
              <w:pStyle w:val="TableParagraph"/>
              <w:tabs>
                <w:tab w:val="left" w:pos="2066"/>
                <w:tab w:val="left" w:pos="7049"/>
              </w:tabs>
              <w:spacing w:before="50"/>
              <w:ind w:left="955"/>
              <w:rPr>
                <w:b/>
                <w:sz w:val="24"/>
              </w:rPr>
            </w:pPr>
            <w:r w:rsidRPr="00BB1536">
              <w:rPr>
                <w:b/>
                <w:sz w:val="24"/>
              </w:rPr>
              <w:t>Domain</w:t>
            </w:r>
            <w:r w:rsidRPr="00BB1536">
              <w:rPr>
                <w:b/>
                <w:sz w:val="24"/>
              </w:rPr>
              <w:tab/>
              <w:t>Ensuring people have</w:t>
            </w:r>
            <w:r w:rsidRPr="00BB1536">
              <w:rPr>
                <w:b/>
                <w:spacing w:val="-6"/>
                <w:sz w:val="24"/>
              </w:rPr>
              <w:t xml:space="preserve"> </w:t>
            </w:r>
            <w:r w:rsidRPr="00BB1536">
              <w:rPr>
                <w:b/>
                <w:sz w:val="24"/>
              </w:rPr>
              <w:t>a</w:t>
            </w:r>
            <w:r w:rsidRPr="00BB1536">
              <w:rPr>
                <w:b/>
                <w:spacing w:val="-1"/>
                <w:sz w:val="24"/>
              </w:rPr>
              <w:t xml:space="preserve"> </w:t>
            </w:r>
            <w:r w:rsidRPr="00BB1536">
              <w:rPr>
                <w:b/>
                <w:sz w:val="24"/>
              </w:rPr>
              <w:t>positive</w:t>
            </w:r>
            <w:r w:rsidRPr="00BB1536">
              <w:rPr>
                <w:b/>
                <w:sz w:val="24"/>
              </w:rPr>
              <w:tab/>
              <w:t>x</w:t>
            </w:r>
          </w:p>
          <w:p w14:paraId="07AB5EF4" w14:textId="77777777" w:rsidR="000369A6" w:rsidRPr="00BB1536" w:rsidRDefault="007A4E59">
            <w:pPr>
              <w:pStyle w:val="TableParagraph"/>
              <w:numPr>
                <w:ilvl w:val="2"/>
                <w:numId w:val="11"/>
              </w:numPr>
              <w:tabs>
                <w:tab w:val="left" w:pos="2066"/>
                <w:tab w:val="left" w:pos="2067"/>
              </w:tabs>
              <w:spacing w:before="43"/>
              <w:ind w:hanging="1111"/>
              <w:rPr>
                <w:b/>
                <w:sz w:val="24"/>
              </w:rPr>
            </w:pPr>
            <w:r w:rsidRPr="00BB1536">
              <w:rPr>
                <w:b/>
                <w:sz w:val="24"/>
              </w:rPr>
              <w:t>experience of</w:t>
            </w:r>
            <w:r w:rsidRPr="00BB1536">
              <w:rPr>
                <w:b/>
                <w:spacing w:val="-7"/>
                <w:sz w:val="24"/>
              </w:rPr>
              <w:t xml:space="preserve"> </w:t>
            </w:r>
            <w:r w:rsidRPr="00BB1536">
              <w:rPr>
                <w:b/>
                <w:sz w:val="24"/>
              </w:rPr>
              <w:t>care</w:t>
            </w:r>
          </w:p>
          <w:p w14:paraId="54667AC0" w14:textId="77777777" w:rsidR="000369A6" w:rsidRPr="00BB1536" w:rsidRDefault="007A4E59">
            <w:pPr>
              <w:pStyle w:val="TableParagraph"/>
              <w:tabs>
                <w:tab w:val="left" w:pos="2066"/>
                <w:tab w:val="left" w:pos="7049"/>
              </w:tabs>
              <w:spacing w:before="50"/>
              <w:ind w:left="955"/>
              <w:rPr>
                <w:b/>
                <w:sz w:val="24"/>
              </w:rPr>
            </w:pPr>
            <w:r w:rsidRPr="00BB1536">
              <w:rPr>
                <w:b/>
                <w:sz w:val="24"/>
              </w:rPr>
              <w:t>Domain</w:t>
            </w:r>
            <w:r w:rsidRPr="00BB1536">
              <w:rPr>
                <w:b/>
                <w:sz w:val="24"/>
              </w:rPr>
              <w:tab/>
              <w:t>Treating and caring for people</w:t>
            </w:r>
            <w:r w:rsidRPr="00BB1536">
              <w:rPr>
                <w:b/>
                <w:spacing w:val="-5"/>
                <w:sz w:val="24"/>
              </w:rPr>
              <w:t xml:space="preserve"> </w:t>
            </w:r>
            <w:r w:rsidRPr="00BB1536">
              <w:rPr>
                <w:b/>
                <w:sz w:val="24"/>
              </w:rPr>
              <w:t>in</w:t>
            </w:r>
            <w:r w:rsidRPr="00BB1536">
              <w:rPr>
                <w:b/>
                <w:spacing w:val="-4"/>
                <w:sz w:val="24"/>
              </w:rPr>
              <w:t xml:space="preserve"> </w:t>
            </w:r>
            <w:r w:rsidRPr="00BB1536">
              <w:rPr>
                <w:b/>
                <w:sz w:val="24"/>
              </w:rPr>
              <w:t>safe</w:t>
            </w:r>
            <w:r w:rsidRPr="00BB1536">
              <w:rPr>
                <w:b/>
                <w:sz w:val="24"/>
              </w:rPr>
              <w:tab/>
              <w:t>x</w:t>
            </w:r>
          </w:p>
          <w:p w14:paraId="7A7FF5DB" w14:textId="77777777" w:rsidR="000369A6" w:rsidRPr="00BB1536" w:rsidRDefault="007A4E59">
            <w:pPr>
              <w:pStyle w:val="TableParagraph"/>
              <w:numPr>
                <w:ilvl w:val="2"/>
                <w:numId w:val="11"/>
              </w:numPr>
              <w:tabs>
                <w:tab w:val="left" w:pos="2066"/>
                <w:tab w:val="left" w:pos="2067"/>
              </w:tabs>
              <w:spacing w:before="40" w:line="278" w:lineRule="auto"/>
              <w:ind w:right="3147" w:hanging="1111"/>
              <w:rPr>
                <w:b/>
                <w:sz w:val="24"/>
              </w:rPr>
            </w:pPr>
            <w:r w:rsidRPr="00BB1536">
              <w:rPr>
                <w:b/>
                <w:sz w:val="24"/>
              </w:rPr>
              <w:t>environment and protecting them from avoidable</w:t>
            </w:r>
            <w:r w:rsidRPr="00BB1536">
              <w:rPr>
                <w:b/>
                <w:spacing w:val="-4"/>
                <w:sz w:val="24"/>
              </w:rPr>
              <w:t xml:space="preserve"> </w:t>
            </w:r>
            <w:r w:rsidRPr="00BB1536">
              <w:rPr>
                <w:b/>
                <w:sz w:val="24"/>
              </w:rPr>
              <w:t>harm</w:t>
            </w:r>
          </w:p>
          <w:p w14:paraId="4B9EE822" w14:textId="77777777" w:rsidR="00BB1536" w:rsidRDefault="00BB1536" w:rsidP="00BB1536">
            <w:pPr>
              <w:pStyle w:val="TableParagraph"/>
              <w:tabs>
                <w:tab w:val="left" w:pos="823"/>
                <w:tab w:val="left" w:pos="824"/>
              </w:tabs>
              <w:spacing w:before="7"/>
              <w:ind w:left="823"/>
              <w:rPr>
                <w:b/>
                <w:sz w:val="24"/>
              </w:rPr>
            </w:pPr>
          </w:p>
          <w:p w14:paraId="1A07D829" w14:textId="2DB31E51" w:rsidR="000369A6" w:rsidRPr="00BB1536" w:rsidRDefault="007A4E59">
            <w:pPr>
              <w:pStyle w:val="TableParagraph"/>
              <w:numPr>
                <w:ilvl w:val="1"/>
                <w:numId w:val="11"/>
              </w:numPr>
              <w:tabs>
                <w:tab w:val="left" w:pos="823"/>
                <w:tab w:val="left" w:pos="824"/>
              </w:tabs>
              <w:spacing w:before="7"/>
              <w:rPr>
                <w:b/>
                <w:sz w:val="24"/>
              </w:rPr>
            </w:pPr>
            <w:r w:rsidRPr="00BB1536">
              <w:rPr>
                <w:b/>
                <w:sz w:val="24"/>
              </w:rPr>
              <w:t>Local defined</w:t>
            </w:r>
            <w:r w:rsidRPr="00BB1536">
              <w:rPr>
                <w:b/>
                <w:spacing w:val="-4"/>
                <w:sz w:val="24"/>
              </w:rPr>
              <w:t xml:space="preserve"> </w:t>
            </w:r>
            <w:r w:rsidRPr="00BB1536">
              <w:rPr>
                <w:b/>
                <w:sz w:val="24"/>
              </w:rPr>
              <w:t>outcomes</w:t>
            </w:r>
          </w:p>
          <w:p w14:paraId="39FC4B47" w14:textId="7181E5A7" w:rsidR="00B93099" w:rsidRPr="00BB1536" w:rsidRDefault="009E096D" w:rsidP="0079601F">
            <w:pPr>
              <w:pStyle w:val="TableParagraph"/>
              <w:spacing w:before="38"/>
              <w:ind w:left="103"/>
              <w:jc w:val="both"/>
              <w:rPr>
                <w:sz w:val="24"/>
              </w:rPr>
            </w:pPr>
            <w:r>
              <w:rPr>
                <w:sz w:val="24"/>
              </w:rPr>
              <w:t xml:space="preserve">This service </w:t>
            </w:r>
            <w:r w:rsidR="00F4372C">
              <w:rPr>
                <w:sz w:val="24"/>
              </w:rPr>
              <w:t xml:space="preserve">provides funding </w:t>
            </w:r>
            <w:r w:rsidR="00B93099">
              <w:rPr>
                <w:sz w:val="24"/>
              </w:rPr>
              <w:t xml:space="preserve">for </w:t>
            </w:r>
            <w:r w:rsidR="00FB6A2B">
              <w:rPr>
                <w:sz w:val="24"/>
              </w:rPr>
              <w:t xml:space="preserve">practices </w:t>
            </w:r>
            <w:r w:rsidR="003B12D1">
              <w:rPr>
                <w:sz w:val="24"/>
              </w:rPr>
              <w:t xml:space="preserve">within </w:t>
            </w:r>
            <w:r w:rsidR="0079601F">
              <w:rPr>
                <w:sz w:val="24"/>
              </w:rPr>
              <w:t xml:space="preserve">Shropshire and Telford </w:t>
            </w:r>
            <w:r w:rsidR="00F4372C">
              <w:rPr>
                <w:sz w:val="24"/>
              </w:rPr>
              <w:t xml:space="preserve">to manage </w:t>
            </w:r>
            <w:r w:rsidR="000E6809">
              <w:rPr>
                <w:sz w:val="24"/>
              </w:rPr>
              <w:t xml:space="preserve">systems </w:t>
            </w:r>
            <w:r w:rsidR="00B93099">
              <w:rPr>
                <w:sz w:val="24"/>
              </w:rPr>
              <w:t xml:space="preserve">for </w:t>
            </w:r>
            <w:r w:rsidR="004607C4" w:rsidRPr="00495180">
              <w:rPr>
                <w:sz w:val="24"/>
              </w:rPr>
              <w:t>initiation, where clinically appropriate, and</w:t>
            </w:r>
            <w:r w:rsidR="004607C4">
              <w:rPr>
                <w:sz w:val="24"/>
              </w:rPr>
              <w:t xml:space="preserve"> </w:t>
            </w:r>
            <w:r w:rsidR="00C862AF">
              <w:rPr>
                <w:sz w:val="24"/>
              </w:rPr>
              <w:t xml:space="preserve">an </w:t>
            </w:r>
            <w:r w:rsidR="00B93099">
              <w:rPr>
                <w:sz w:val="24"/>
              </w:rPr>
              <w:t>ongoing enhanced level of monitoring of prescribed medicines.</w:t>
            </w:r>
            <w:r w:rsidR="0079601F">
              <w:rPr>
                <w:sz w:val="24"/>
              </w:rPr>
              <w:t xml:space="preserve"> The funding is for medicines that require ongoing review/ monitoring over and above what would be expected as part of standard care. </w:t>
            </w:r>
            <w:r w:rsidR="004047C6" w:rsidRPr="002D13C8">
              <w:rPr>
                <w:sz w:val="24"/>
              </w:rPr>
              <w:t xml:space="preserve"> </w:t>
            </w:r>
          </w:p>
        </w:tc>
      </w:tr>
    </w:tbl>
    <w:p w14:paraId="53CD1F97" w14:textId="518E9049" w:rsidR="000369A6" w:rsidRDefault="000369A6">
      <w:pPr>
        <w:pStyle w:val="BodyText"/>
        <w:spacing w:before="8"/>
        <w:rPr>
          <w:rFonts w:ascii="Times New Roman"/>
          <w:sz w:val="25"/>
        </w:r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40"/>
      </w:tblGrid>
      <w:tr w:rsidR="000369A6" w14:paraId="5B320826" w14:textId="77777777">
        <w:trPr>
          <w:trHeight w:hRule="exact" w:val="326"/>
        </w:trPr>
        <w:tc>
          <w:tcPr>
            <w:tcW w:w="9640" w:type="dxa"/>
            <w:shd w:val="clear" w:color="auto" w:fill="585858"/>
          </w:tcPr>
          <w:p w14:paraId="76D81888" w14:textId="77777777" w:rsidR="000369A6" w:rsidRDefault="007A4E59">
            <w:pPr>
              <w:pStyle w:val="TableParagraph"/>
              <w:tabs>
                <w:tab w:val="left" w:pos="823"/>
              </w:tabs>
              <w:spacing w:line="274" w:lineRule="exact"/>
              <w:ind w:left="103"/>
              <w:rPr>
                <w:b/>
                <w:sz w:val="24"/>
              </w:rPr>
            </w:pPr>
            <w:r>
              <w:rPr>
                <w:b/>
                <w:color w:val="F79546"/>
                <w:sz w:val="24"/>
              </w:rPr>
              <w:t>3.</w:t>
            </w:r>
            <w:r>
              <w:rPr>
                <w:b/>
                <w:color w:val="F79546"/>
                <w:sz w:val="24"/>
              </w:rPr>
              <w:tab/>
              <w:t>Scope</w:t>
            </w:r>
          </w:p>
        </w:tc>
      </w:tr>
      <w:tr w:rsidR="000369A6" w14:paraId="5541B2F8" w14:textId="77777777" w:rsidTr="00D14B6F">
        <w:tc>
          <w:tcPr>
            <w:tcW w:w="9640" w:type="dxa"/>
          </w:tcPr>
          <w:p w14:paraId="296F85A1" w14:textId="0ECEF80F" w:rsidR="000369A6" w:rsidRDefault="000369A6">
            <w:pPr>
              <w:pStyle w:val="TableParagraph"/>
              <w:spacing w:before="9"/>
              <w:rPr>
                <w:rFonts w:ascii="Times New Roman"/>
                <w:sz w:val="23"/>
              </w:rPr>
            </w:pPr>
          </w:p>
          <w:p w14:paraId="36663393" w14:textId="0712DB39" w:rsidR="000369A6" w:rsidRDefault="007A4E59">
            <w:pPr>
              <w:pStyle w:val="TableParagraph"/>
              <w:ind w:left="103"/>
              <w:jc w:val="both"/>
              <w:rPr>
                <w:b/>
                <w:sz w:val="24"/>
              </w:rPr>
            </w:pPr>
            <w:r w:rsidRPr="00B93099">
              <w:rPr>
                <w:b/>
                <w:sz w:val="24"/>
              </w:rPr>
              <w:t>3.1      Aims and objectives of service</w:t>
            </w:r>
          </w:p>
          <w:p w14:paraId="7970DFD6" w14:textId="77777777" w:rsidR="00BF08C1" w:rsidRPr="00B93099" w:rsidRDefault="00BF08C1">
            <w:pPr>
              <w:pStyle w:val="TableParagraph"/>
              <w:ind w:left="103"/>
              <w:jc w:val="both"/>
              <w:rPr>
                <w:b/>
                <w:sz w:val="24"/>
              </w:rPr>
            </w:pPr>
          </w:p>
          <w:p w14:paraId="6E533E74" w14:textId="04A977CB" w:rsidR="007A6284" w:rsidRDefault="007A4E59" w:rsidP="00505D11">
            <w:pPr>
              <w:pStyle w:val="TableParagraph"/>
              <w:spacing w:line="274" w:lineRule="exact"/>
              <w:ind w:left="102"/>
              <w:rPr>
                <w:sz w:val="24"/>
              </w:rPr>
            </w:pPr>
            <w:r>
              <w:rPr>
                <w:sz w:val="24"/>
              </w:rPr>
              <w:t xml:space="preserve">This </w:t>
            </w:r>
            <w:r w:rsidR="00453A6C">
              <w:rPr>
                <w:sz w:val="24"/>
              </w:rPr>
              <w:t xml:space="preserve">service </w:t>
            </w:r>
            <w:r w:rsidR="00E61BB2">
              <w:rPr>
                <w:sz w:val="24"/>
              </w:rPr>
              <w:t xml:space="preserve">covers medicines initiated in secondary care and </w:t>
            </w:r>
            <w:r w:rsidR="00C00DB4">
              <w:rPr>
                <w:sz w:val="24"/>
              </w:rPr>
              <w:t>recommended for continuation in</w:t>
            </w:r>
            <w:r w:rsidR="00E61BB2">
              <w:rPr>
                <w:sz w:val="24"/>
              </w:rPr>
              <w:t xml:space="preserve"> primary care </w:t>
            </w:r>
            <w:r w:rsidR="00E61BB2" w:rsidRPr="00495180">
              <w:rPr>
                <w:sz w:val="24"/>
              </w:rPr>
              <w:t xml:space="preserve">under guidance or shared care; and medicines initiated in primary care. </w:t>
            </w:r>
            <w:r w:rsidR="00A94F05" w:rsidRPr="00495180">
              <w:rPr>
                <w:sz w:val="24"/>
              </w:rPr>
              <w:t xml:space="preserve">The medicines </w:t>
            </w:r>
            <w:r w:rsidR="00AA255B" w:rsidRPr="00495180">
              <w:rPr>
                <w:sz w:val="24"/>
              </w:rPr>
              <w:t xml:space="preserve">currently </w:t>
            </w:r>
            <w:r w:rsidR="00A94F05" w:rsidRPr="00495180">
              <w:rPr>
                <w:sz w:val="24"/>
              </w:rPr>
              <w:t>covered under this service are</w:t>
            </w:r>
            <w:r w:rsidR="00EB0A72" w:rsidRPr="00495180">
              <w:rPr>
                <w:sz w:val="24"/>
              </w:rPr>
              <w:t xml:space="preserve"> listed in Appendix One. </w:t>
            </w:r>
            <w:r w:rsidR="007A6284" w:rsidRPr="00FB6A2B">
              <w:rPr>
                <w:sz w:val="24"/>
              </w:rPr>
              <w:t>Where medicines are initiated</w:t>
            </w:r>
            <w:r w:rsidR="006E5CFE">
              <w:rPr>
                <w:sz w:val="24"/>
              </w:rPr>
              <w:t xml:space="preserve"> or recommended</w:t>
            </w:r>
            <w:r w:rsidR="007A6284" w:rsidRPr="00FB6A2B">
              <w:rPr>
                <w:sz w:val="24"/>
              </w:rPr>
              <w:t xml:space="preserve"> by secondary care this should be in line with shared care</w:t>
            </w:r>
            <w:r w:rsidR="006E5CFE">
              <w:rPr>
                <w:sz w:val="24"/>
              </w:rPr>
              <w:t xml:space="preserve"> or prescribing information</w:t>
            </w:r>
            <w:r w:rsidR="007A6284" w:rsidRPr="00FB6A2B">
              <w:rPr>
                <w:sz w:val="24"/>
              </w:rPr>
              <w:t xml:space="preserve"> guidance that has been approved by </w:t>
            </w:r>
            <w:r w:rsidR="007B42E5">
              <w:rPr>
                <w:sz w:val="24"/>
              </w:rPr>
              <w:t>Shropshire and Telford Local Health Economy</w:t>
            </w:r>
            <w:r w:rsidR="007A6284" w:rsidRPr="00FB6A2B">
              <w:rPr>
                <w:sz w:val="24"/>
              </w:rPr>
              <w:t xml:space="preserve"> Area Prescribing Committee</w:t>
            </w:r>
            <w:r w:rsidR="006E5CFE">
              <w:rPr>
                <w:sz w:val="24"/>
              </w:rPr>
              <w:t xml:space="preserve"> (APC)</w:t>
            </w:r>
            <w:r w:rsidR="00AB579D">
              <w:rPr>
                <w:sz w:val="24"/>
              </w:rPr>
              <w:t xml:space="preserve"> which includes GP representation. </w:t>
            </w:r>
            <w:r w:rsidR="007A6284" w:rsidRPr="00FB6A2B">
              <w:rPr>
                <w:sz w:val="24"/>
              </w:rPr>
              <w:t xml:space="preserve"> </w:t>
            </w:r>
            <w:r w:rsidR="00AB579D">
              <w:rPr>
                <w:sz w:val="24"/>
              </w:rPr>
              <w:t>A</w:t>
            </w:r>
            <w:r w:rsidR="00011B03" w:rsidRPr="00FB6A2B">
              <w:rPr>
                <w:sz w:val="24"/>
              </w:rPr>
              <w:t>ppropriate communication</w:t>
            </w:r>
            <w:r w:rsidR="007A6284" w:rsidRPr="00FB6A2B">
              <w:rPr>
                <w:sz w:val="24"/>
              </w:rPr>
              <w:t xml:space="preserve"> between secondary and primary care</w:t>
            </w:r>
            <w:r w:rsidR="00AB579D">
              <w:rPr>
                <w:sz w:val="24"/>
              </w:rPr>
              <w:t xml:space="preserve"> is required</w:t>
            </w:r>
            <w:r w:rsidR="007A6284" w:rsidRPr="00FB6A2B">
              <w:rPr>
                <w:sz w:val="24"/>
              </w:rPr>
              <w:t>.</w:t>
            </w:r>
            <w:r w:rsidR="007A6284">
              <w:rPr>
                <w:sz w:val="24"/>
              </w:rPr>
              <w:t xml:space="preserve"> </w:t>
            </w:r>
          </w:p>
          <w:p w14:paraId="07109FB8" w14:textId="71A24428" w:rsidR="006E5CFE" w:rsidRDefault="006E5CFE" w:rsidP="00505D11">
            <w:pPr>
              <w:pStyle w:val="TableParagraph"/>
              <w:spacing w:line="274" w:lineRule="exact"/>
              <w:ind w:left="102"/>
              <w:rPr>
                <w:sz w:val="24"/>
              </w:rPr>
            </w:pPr>
            <w:r>
              <w:rPr>
                <w:sz w:val="24"/>
              </w:rPr>
              <w:t xml:space="preserve">Appendix one will be </w:t>
            </w:r>
            <w:r w:rsidR="00C00DB4">
              <w:rPr>
                <w:sz w:val="24"/>
              </w:rPr>
              <w:t xml:space="preserve">regularly reviewed </w:t>
            </w:r>
            <w:r w:rsidR="005A376B">
              <w:rPr>
                <w:sz w:val="24"/>
              </w:rPr>
              <w:t>throughout the year</w:t>
            </w:r>
            <w:r w:rsidR="00215D96">
              <w:rPr>
                <w:sz w:val="24"/>
              </w:rPr>
              <w:t xml:space="preserve"> as needed at the time of change,</w:t>
            </w:r>
            <w:r w:rsidR="005A376B">
              <w:rPr>
                <w:sz w:val="24"/>
              </w:rPr>
              <w:t xml:space="preserve"> to </w:t>
            </w:r>
            <w:r w:rsidR="00C00DB4">
              <w:rPr>
                <w:sz w:val="24"/>
              </w:rPr>
              <w:t xml:space="preserve">consider </w:t>
            </w:r>
            <w:r w:rsidR="00AB579D">
              <w:rPr>
                <w:sz w:val="24"/>
              </w:rPr>
              <w:t>any</w:t>
            </w:r>
            <w:r w:rsidR="005A376B">
              <w:rPr>
                <w:sz w:val="24"/>
              </w:rPr>
              <w:t xml:space="preserve"> in year changes </w:t>
            </w:r>
            <w:r w:rsidR="00C00DB4">
              <w:rPr>
                <w:sz w:val="24"/>
              </w:rPr>
              <w:t>to</w:t>
            </w:r>
            <w:r w:rsidR="00AB579D">
              <w:rPr>
                <w:sz w:val="24"/>
              </w:rPr>
              <w:t xml:space="preserve"> medicines with APC approved ESCA</w:t>
            </w:r>
            <w:r w:rsidR="005A376B">
              <w:rPr>
                <w:sz w:val="24"/>
              </w:rPr>
              <w:t xml:space="preserve"> or prescribing information</w:t>
            </w:r>
            <w:r w:rsidR="00C00DB4">
              <w:rPr>
                <w:sz w:val="24"/>
              </w:rPr>
              <w:t>,</w:t>
            </w:r>
            <w:r w:rsidR="005A376B">
              <w:rPr>
                <w:sz w:val="24"/>
              </w:rPr>
              <w:t xml:space="preserve"> in </w:t>
            </w:r>
            <w:r w:rsidR="000D2A87">
              <w:rPr>
                <w:sz w:val="24"/>
              </w:rPr>
              <w:t xml:space="preserve">order </w:t>
            </w:r>
            <w:r w:rsidR="000D2A87" w:rsidRPr="00E36163">
              <w:rPr>
                <w:sz w:val="24"/>
              </w:rPr>
              <w:t>to</w:t>
            </w:r>
            <w:r w:rsidR="00495180" w:rsidRPr="00E36163">
              <w:rPr>
                <w:sz w:val="24"/>
              </w:rPr>
              <w:t xml:space="preserve"> determine whether any medicines should be added or removed from the agreed list</w:t>
            </w:r>
            <w:r w:rsidR="00215D96">
              <w:rPr>
                <w:sz w:val="24"/>
              </w:rPr>
              <w:t xml:space="preserve">. </w:t>
            </w:r>
            <w:r>
              <w:rPr>
                <w:sz w:val="24"/>
              </w:rPr>
              <w:t xml:space="preserve">Only medicines with APC approved ESCA or prescribing information documents will be added to Appendix one medicines list. </w:t>
            </w:r>
          </w:p>
          <w:p w14:paraId="09D57030" w14:textId="03A841D4" w:rsidR="000369A6" w:rsidRDefault="006E5CFE" w:rsidP="00505D11">
            <w:pPr>
              <w:pStyle w:val="TableParagraph"/>
              <w:spacing w:line="274" w:lineRule="exact"/>
              <w:ind w:left="102"/>
              <w:rPr>
                <w:sz w:val="24"/>
              </w:rPr>
            </w:pPr>
            <w:r>
              <w:rPr>
                <w:sz w:val="24"/>
              </w:rPr>
              <w:t>For</w:t>
            </w:r>
            <w:r w:rsidR="008D0679">
              <w:rPr>
                <w:sz w:val="24"/>
              </w:rPr>
              <w:t xml:space="preserve"> new</w:t>
            </w:r>
            <w:r>
              <w:rPr>
                <w:sz w:val="24"/>
              </w:rPr>
              <w:t xml:space="preserve"> medicines with significant workload or commissioning implications that warrant additional investment </w:t>
            </w:r>
            <w:r w:rsidR="005A376B">
              <w:rPr>
                <w:sz w:val="24"/>
              </w:rPr>
              <w:t xml:space="preserve">in Primary Care or new commissioning arrangements </w:t>
            </w:r>
            <w:r>
              <w:rPr>
                <w:sz w:val="24"/>
              </w:rPr>
              <w:t xml:space="preserve">over and above the allocated funding for this scheme, </w:t>
            </w:r>
            <w:r w:rsidR="005A376B">
              <w:rPr>
                <w:sz w:val="24"/>
              </w:rPr>
              <w:t xml:space="preserve">these will be reviewed via the CCG’s commissioning processes and the Local Medical Council (LMC) will be consulted prior to their inclusion. </w:t>
            </w:r>
          </w:p>
          <w:p w14:paraId="5C3D967C" w14:textId="77777777" w:rsidR="000369A6" w:rsidRDefault="000369A6" w:rsidP="00505D11">
            <w:pPr>
              <w:pStyle w:val="TableParagraph"/>
              <w:rPr>
                <w:rFonts w:ascii="Times New Roman"/>
                <w:sz w:val="24"/>
              </w:rPr>
            </w:pPr>
          </w:p>
          <w:p w14:paraId="41C303F7" w14:textId="6634473D" w:rsidR="000369A6" w:rsidRDefault="007A4E59" w:rsidP="00505D11">
            <w:pPr>
              <w:pStyle w:val="TableParagraph"/>
              <w:ind w:left="103"/>
              <w:rPr>
                <w:sz w:val="24"/>
              </w:rPr>
            </w:pPr>
            <w:r>
              <w:rPr>
                <w:sz w:val="24"/>
              </w:rPr>
              <w:t xml:space="preserve">An </w:t>
            </w:r>
            <w:r w:rsidR="009F00AD">
              <w:rPr>
                <w:sz w:val="24"/>
              </w:rPr>
              <w:t xml:space="preserve">enhanced </w:t>
            </w:r>
            <w:r>
              <w:rPr>
                <w:sz w:val="24"/>
              </w:rPr>
              <w:t xml:space="preserve">monitoring </w:t>
            </w:r>
            <w:r w:rsidR="009F00AD">
              <w:rPr>
                <w:sz w:val="24"/>
              </w:rPr>
              <w:t xml:space="preserve">of medicines </w:t>
            </w:r>
            <w:r>
              <w:rPr>
                <w:sz w:val="24"/>
              </w:rPr>
              <w:t>service is designed to:</w:t>
            </w:r>
          </w:p>
          <w:p w14:paraId="717BEA4D" w14:textId="77777777" w:rsidR="000369A6" w:rsidRDefault="000369A6" w:rsidP="00505D11">
            <w:pPr>
              <w:pStyle w:val="TableParagraph"/>
              <w:rPr>
                <w:rFonts w:ascii="Times New Roman"/>
                <w:sz w:val="24"/>
              </w:rPr>
            </w:pPr>
          </w:p>
          <w:p w14:paraId="325437C9" w14:textId="295F7BCB" w:rsidR="004E07C8" w:rsidRDefault="004576BC" w:rsidP="00505D11">
            <w:pPr>
              <w:pStyle w:val="TableParagraph"/>
              <w:numPr>
                <w:ilvl w:val="0"/>
                <w:numId w:val="10"/>
              </w:numPr>
              <w:tabs>
                <w:tab w:val="left" w:pos="824"/>
              </w:tabs>
              <w:ind w:right="109" w:hanging="533"/>
              <w:jc w:val="left"/>
              <w:rPr>
                <w:sz w:val="24"/>
              </w:rPr>
            </w:pPr>
            <w:r>
              <w:rPr>
                <w:sz w:val="24"/>
              </w:rPr>
              <w:t>Include t</w:t>
            </w:r>
            <w:r w:rsidR="007A4E59" w:rsidRPr="004E07C8">
              <w:rPr>
                <w:sz w:val="24"/>
              </w:rPr>
              <w:t>herapy initiated in primary care or secondary care</w:t>
            </w:r>
            <w:r w:rsidR="004E07C8" w:rsidRPr="004E07C8">
              <w:rPr>
                <w:sz w:val="24"/>
              </w:rPr>
              <w:t xml:space="preserve"> for appropriate clinical indications. </w:t>
            </w:r>
          </w:p>
          <w:p w14:paraId="0D2D068C" w14:textId="4344C44A" w:rsidR="000369A6" w:rsidRDefault="004576BC" w:rsidP="00505D11">
            <w:pPr>
              <w:pStyle w:val="TableParagraph"/>
              <w:numPr>
                <w:ilvl w:val="0"/>
                <w:numId w:val="10"/>
              </w:numPr>
              <w:tabs>
                <w:tab w:val="left" w:pos="823"/>
                <w:tab w:val="left" w:pos="824"/>
              </w:tabs>
              <w:ind w:hanging="586"/>
              <w:jc w:val="left"/>
              <w:rPr>
                <w:sz w:val="24"/>
              </w:rPr>
            </w:pPr>
            <w:r>
              <w:rPr>
                <w:sz w:val="24"/>
              </w:rPr>
              <w:t xml:space="preserve">Provide a primary care service so </w:t>
            </w:r>
            <w:r w:rsidR="006C3D9C">
              <w:rPr>
                <w:sz w:val="24"/>
              </w:rPr>
              <w:t>patients</w:t>
            </w:r>
            <w:r>
              <w:rPr>
                <w:sz w:val="24"/>
              </w:rPr>
              <w:t xml:space="preserve"> </w:t>
            </w:r>
            <w:r w:rsidR="006C3D9C">
              <w:rPr>
                <w:sz w:val="24"/>
              </w:rPr>
              <w:t xml:space="preserve">have access to local and convenient </w:t>
            </w:r>
            <w:r w:rsidR="006C3D9C">
              <w:rPr>
                <w:sz w:val="24"/>
              </w:rPr>
              <w:lastRenderedPageBreak/>
              <w:t xml:space="preserve">service without the need for hospital visits. </w:t>
            </w:r>
          </w:p>
          <w:p w14:paraId="06871A31" w14:textId="22678C9E" w:rsidR="000369A6" w:rsidRDefault="00C302AC" w:rsidP="00505D11">
            <w:pPr>
              <w:pStyle w:val="TableParagraph"/>
              <w:numPr>
                <w:ilvl w:val="0"/>
                <w:numId w:val="10"/>
              </w:numPr>
              <w:tabs>
                <w:tab w:val="left" w:pos="823"/>
                <w:tab w:val="left" w:pos="824"/>
              </w:tabs>
              <w:ind w:hanging="600"/>
              <w:jc w:val="left"/>
              <w:rPr>
                <w:sz w:val="24"/>
              </w:rPr>
            </w:pPr>
            <w:r>
              <w:rPr>
                <w:sz w:val="24"/>
              </w:rPr>
              <w:t>Ensure patients receive a safe and appropriate level of care</w:t>
            </w:r>
            <w:r w:rsidR="001E430F">
              <w:rPr>
                <w:sz w:val="24"/>
              </w:rPr>
              <w:t>.</w:t>
            </w:r>
          </w:p>
          <w:p w14:paraId="319703D3" w14:textId="74EBC608" w:rsidR="000369A6" w:rsidRPr="009C0CAD" w:rsidRDefault="00C302AC" w:rsidP="00505D11">
            <w:pPr>
              <w:pStyle w:val="TableParagraph"/>
              <w:numPr>
                <w:ilvl w:val="0"/>
                <w:numId w:val="10"/>
              </w:numPr>
              <w:tabs>
                <w:tab w:val="left" w:pos="823"/>
                <w:tab w:val="left" w:pos="824"/>
              </w:tabs>
              <w:spacing w:line="275" w:lineRule="exact"/>
              <w:ind w:hanging="600"/>
              <w:jc w:val="left"/>
              <w:rPr>
                <w:rFonts w:ascii="Times New Roman"/>
                <w:sz w:val="24"/>
              </w:rPr>
            </w:pPr>
            <w:r w:rsidRPr="001E430F">
              <w:rPr>
                <w:sz w:val="24"/>
              </w:rPr>
              <w:t>Ensure n</w:t>
            </w:r>
            <w:r w:rsidR="00AC298D" w:rsidRPr="001E430F">
              <w:rPr>
                <w:sz w:val="24"/>
              </w:rPr>
              <w:t xml:space="preserve">ational and local </w:t>
            </w:r>
            <w:r w:rsidR="007A5024" w:rsidRPr="001E430F">
              <w:rPr>
                <w:sz w:val="24"/>
              </w:rPr>
              <w:t xml:space="preserve">guidance </w:t>
            </w:r>
            <w:r w:rsidR="007A4E59" w:rsidRPr="001E430F">
              <w:rPr>
                <w:sz w:val="24"/>
              </w:rPr>
              <w:t>and standards</w:t>
            </w:r>
            <w:r w:rsidR="00BF08C1" w:rsidRPr="001E430F">
              <w:rPr>
                <w:sz w:val="24"/>
              </w:rPr>
              <w:t xml:space="preserve"> </w:t>
            </w:r>
            <w:r w:rsidR="001E430F" w:rsidRPr="001E430F">
              <w:rPr>
                <w:sz w:val="24"/>
              </w:rPr>
              <w:t xml:space="preserve">are followed. </w:t>
            </w:r>
          </w:p>
          <w:p w14:paraId="14191DBD" w14:textId="58FEC585" w:rsidR="009C0CAD" w:rsidRPr="001E430F" w:rsidRDefault="009C0CAD" w:rsidP="00505D11">
            <w:pPr>
              <w:pStyle w:val="TableParagraph"/>
              <w:numPr>
                <w:ilvl w:val="0"/>
                <w:numId w:val="10"/>
              </w:numPr>
              <w:tabs>
                <w:tab w:val="left" w:pos="823"/>
                <w:tab w:val="left" w:pos="824"/>
              </w:tabs>
              <w:spacing w:line="275" w:lineRule="exact"/>
              <w:ind w:hanging="600"/>
              <w:jc w:val="left"/>
              <w:rPr>
                <w:rFonts w:ascii="Times New Roman"/>
                <w:sz w:val="24"/>
              </w:rPr>
            </w:pPr>
            <w:r>
              <w:rPr>
                <w:sz w:val="24"/>
              </w:rPr>
              <w:t xml:space="preserve">Optimise the </w:t>
            </w:r>
            <w:r w:rsidR="00E74DF0">
              <w:rPr>
                <w:sz w:val="24"/>
              </w:rPr>
              <w:t xml:space="preserve">use of NHS resources. </w:t>
            </w:r>
          </w:p>
          <w:p w14:paraId="174197EB" w14:textId="77777777" w:rsidR="001E430F" w:rsidRPr="001E430F" w:rsidRDefault="001E430F" w:rsidP="00505D11">
            <w:pPr>
              <w:pStyle w:val="TableParagraph"/>
              <w:tabs>
                <w:tab w:val="left" w:pos="823"/>
                <w:tab w:val="left" w:pos="824"/>
              </w:tabs>
              <w:spacing w:line="275" w:lineRule="exact"/>
              <w:rPr>
                <w:rFonts w:ascii="Times New Roman"/>
                <w:sz w:val="24"/>
              </w:rPr>
            </w:pPr>
          </w:p>
          <w:p w14:paraId="097A8A1A" w14:textId="46F5AAC0" w:rsidR="000369A6" w:rsidRPr="00E74DF0" w:rsidRDefault="007A4E59" w:rsidP="00505D11">
            <w:pPr>
              <w:pStyle w:val="TableParagraph"/>
              <w:ind w:left="103"/>
              <w:rPr>
                <w:b/>
                <w:sz w:val="24"/>
              </w:rPr>
            </w:pPr>
            <w:r w:rsidRPr="00E74DF0">
              <w:rPr>
                <w:b/>
                <w:sz w:val="24"/>
              </w:rPr>
              <w:t>3.2      Service description</w:t>
            </w:r>
          </w:p>
          <w:p w14:paraId="45396FCF" w14:textId="77777777" w:rsidR="00E74DF0" w:rsidRDefault="00E74DF0" w:rsidP="00505D11">
            <w:pPr>
              <w:pStyle w:val="TableParagraph"/>
              <w:ind w:left="103"/>
              <w:rPr>
                <w:sz w:val="24"/>
              </w:rPr>
            </w:pPr>
          </w:p>
          <w:p w14:paraId="3D10AFC2" w14:textId="62D05E9E" w:rsidR="000369A6" w:rsidRDefault="0001613E" w:rsidP="00505D11">
            <w:pPr>
              <w:pStyle w:val="TableParagraph"/>
              <w:rPr>
                <w:sz w:val="24"/>
              </w:rPr>
            </w:pPr>
            <w:r>
              <w:rPr>
                <w:sz w:val="24"/>
              </w:rPr>
              <w:t>Shropshire CCG and Telford and Wrekin</w:t>
            </w:r>
            <w:r w:rsidR="00FE172D">
              <w:rPr>
                <w:sz w:val="24"/>
              </w:rPr>
              <w:t xml:space="preserve"> CCG will fund the </w:t>
            </w:r>
            <w:r w:rsidR="006450B9">
              <w:rPr>
                <w:sz w:val="24"/>
              </w:rPr>
              <w:t>practices</w:t>
            </w:r>
            <w:r w:rsidR="00453A6C">
              <w:rPr>
                <w:sz w:val="24"/>
              </w:rPr>
              <w:t xml:space="preserve"> to provide </w:t>
            </w:r>
            <w:r w:rsidR="00AA255B" w:rsidRPr="00495180">
              <w:rPr>
                <w:sz w:val="24"/>
              </w:rPr>
              <w:t>initiation and</w:t>
            </w:r>
            <w:r w:rsidR="00C00DB4">
              <w:rPr>
                <w:sz w:val="24"/>
              </w:rPr>
              <w:t>/or</w:t>
            </w:r>
            <w:r w:rsidR="00AA255B">
              <w:rPr>
                <w:sz w:val="24"/>
              </w:rPr>
              <w:t xml:space="preserve"> </w:t>
            </w:r>
            <w:r w:rsidR="00FE172D">
              <w:rPr>
                <w:sz w:val="24"/>
              </w:rPr>
              <w:t xml:space="preserve">an enhanced </w:t>
            </w:r>
            <w:r w:rsidR="00FE7402">
              <w:rPr>
                <w:sz w:val="24"/>
              </w:rPr>
              <w:t xml:space="preserve">monitoring and management of medicines </w:t>
            </w:r>
            <w:r w:rsidR="00985F63">
              <w:rPr>
                <w:sz w:val="24"/>
              </w:rPr>
              <w:t xml:space="preserve">service </w:t>
            </w:r>
            <w:r w:rsidR="00FE7402">
              <w:rPr>
                <w:sz w:val="24"/>
              </w:rPr>
              <w:t>in primary care</w:t>
            </w:r>
            <w:r w:rsidR="00A14836">
              <w:rPr>
                <w:sz w:val="24"/>
              </w:rPr>
              <w:t xml:space="preserve">. </w:t>
            </w:r>
          </w:p>
          <w:p w14:paraId="5B1FE9DA" w14:textId="725B3E30" w:rsidR="00A14836" w:rsidRDefault="00A14836" w:rsidP="00505D11">
            <w:pPr>
              <w:pStyle w:val="TableParagraph"/>
              <w:rPr>
                <w:sz w:val="24"/>
              </w:rPr>
            </w:pPr>
          </w:p>
          <w:p w14:paraId="050FEA77" w14:textId="394969CC" w:rsidR="000369A6" w:rsidRDefault="00A14836" w:rsidP="00505D11">
            <w:pPr>
              <w:pStyle w:val="TableParagraph"/>
              <w:numPr>
                <w:ilvl w:val="2"/>
                <w:numId w:val="17"/>
              </w:numPr>
              <w:tabs>
                <w:tab w:val="left" w:pos="824"/>
              </w:tabs>
              <w:ind w:left="737" w:hanging="737"/>
              <w:rPr>
                <w:sz w:val="24"/>
              </w:rPr>
            </w:pPr>
            <w:r>
              <w:rPr>
                <w:b/>
                <w:sz w:val="24"/>
              </w:rPr>
              <w:t>D</w:t>
            </w:r>
            <w:r w:rsidR="007A4E59">
              <w:rPr>
                <w:b/>
                <w:sz w:val="24"/>
              </w:rPr>
              <w:t>evelop and maint</w:t>
            </w:r>
            <w:r w:rsidR="00FC15B0">
              <w:rPr>
                <w:b/>
                <w:sz w:val="24"/>
              </w:rPr>
              <w:t xml:space="preserve">ain </w:t>
            </w:r>
            <w:r w:rsidR="007A4E59">
              <w:rPr>
                <w:b/>
                <w:sz w:val="24"/>
              </w:rPr>
              <w:t xml:space="preserve">a register. </w:t>
            </w:r>
            <w:r w:rsidR="007A4E59">
              <w:rPr>
                <w:sz w:val="24"/>
              </w:rPr>
              <w:t>Pr</w:t>
            </w:r>
            <w:r w:rsidR="00EB7D7D">
              <w:rPr>
                <w:sz w:val="24"/>
              </w:rPr>
              <w:t>oviders</w:t>
            </w:r>
            <w:r w:rsidR="007A4E59">
              <w:rPr>
                <w:sz w:val="24"/>
              </w:rPr>
              <w:t xml:space="preserve"> should be able to produce an up-to-date register </w:t>
            </w:r>
            <w:r w:rsidR="001A3145">
              <w:rPr>
                <w:sz w:val="24"/>
              </w:rPr>
              <w:t xml:space="preserve">of all </w:t>
            </w:r>
            <w:r w:rsidR="00061245">
              <w:rPr>
                <w:sz w:val="24"/>
              </w:rPr>
              <w:t>patients</w:t>
            </w:r>
            <w:r w:rsidR="001A3145">
              <w:rPr>
                <w:sz w:val="24"/>
              </w:rPr>
              <w:t xml:space="preserve"> </w:t>
            </w:r>
            <w:r w:rsidR="00061245">
              <w:rPr>
                <w:sz w:val="24"/>
              </w:rPr>
              <w:t>on the medicines included using a specified Read code.</w:t>
            </w:r>
            <w:r w:rsidR="00457457">
              <w:rPr>
                <w:sz w:val="24"/>
              </w:rPr>
              <w:t xml:space="preserve"> Patients taking warfarin who are managed</w:t>
            </w:r>
            <w:r w:rsidR="0001613E">
              <w:rPr>
                <w:sz w:val="24"/>
              </w:rPr>
              <w:t xml:space="preserve"> (dosed)</w:t>
            </w:r>
            <w:r w:rsidR="00457457">
              <w:rPr>
                <w:sz w:val="24"/>
              </w:rPr>
              <w:t xml:space="preserve"> by another provider should be coded.</w:t>
            </w:r>
          </w:p>
          <w:p w14:paraId="283D0E3A" w14:textId="3EEC8810" w:rsidR="00457457" w:rsidRPr="00E064B0" w:rsidRDefault="00457457" w:rsidP="00505D11">
            <w:pPr>
              <w:pStyle w:val="TableParagraph"/>
              <w:tabs>
                <w:tab w:val="left" w:pos="824"/>
              </w:tabs>
              <w:ind w:left="737"/>
              <w:rPr>
                <w:bCs/>
                <w:sz w:val="24"/>
              </w:rPr>
            </w:pPr>
            <w:r w:rsidRPr="00E064B0">
              <w:rPr>
                <w:bCs/>
                <w:sz w:val="24"/>
              </w:rPr>
              <w:t xml:space="preserve">Read Codes: </w:t>
            </w:r>
          </w:p>
          <w:p w14:paraId="72B49725" w14:textId="740E13C4" w:rsidR="001C4A92" w:rsidRPr="00E064B0" w:rsidRDefault="00DE707F" w:rsidP="00505D11">
            <w:pPr>
              <w:pStyle w:val="TableParagraph"/>
              <w:tabs>
                <w:tab w:val="left" w:pos="824"/>
              </w:tabs>
              <w:ind w:left="737"/>
              <w:rPr>
                <w:bCs/>
                <w:sz w:val="24"/>
              </w:rPr>
            </w:pPr>
            <w:r>
              <w:rPr>
                <w:bCs/>
                <w:sz w:val="24"/>
              </w:rPr>
              <w:t xml:space="preserve">EMIS </w:t>
            </w:r>
            <w:r w:rsidR="001C4A92" w:rsidRPr="00DE707F">
              <w:rPr>
                <w:bCs/>
                <w:sz w:val="24"/>
              </w:rPr>
              <w:t>9kD</w:t>
            </w:r>
            <w:r>
              <w:rPr>
                <w:bCs/>
                <w:sz w:val="24"/>
              </w:rPr>
              <w:t>, SNOmed</w:t>
            </w:r>
            <w:r w:rsidR="001C4A92" w:rsidRPr="00DE707F">
              <w:rPr>
                <w:bCs/>
                <w:sz w:val="24"/>
              </w:rPr>
              <w:t>:</w:t>
            </w:r>
            <w:r>
              <w:t xml:space="preserve"> </w:t>
            </w:r>
            <w:r w:rsidRPr="00DE707F">
              <w:rPr>
                <w:sz w:val="24"/>
              </w:rPr>
              <w:t>166381000000102</w:t>
            </w:r>
            <w:r>
              <w:t xml:space="preserve"> </w:t>
            </w:r>
            <w:r w:rsidR="001C4A92" w:rsidRPr="00E064B0">
              <w:rPr>
                <w:bCs/>
                <w:sz w:val="24"/>
              </w:rPr>
              <w:t xml:space="preserve">Near patient testing – enhanced service administration </w:t>
            </w:r>
          </w:p>
          <w:p w14:paraId="6BE1161E" w14:textId="09653DC8" w:rsidR="001C4A92" w:rsidRPr="00E064B0" w:rsidRDefault="001C4A92" w:rsidP="00505D11">
            <w:pPr>
              <w:pStyle w:val="TableParagraph"/>
              <w:tabs>
                <w:tab w:val="left" w:pos="824"/>
              </w:tabs>
              <w:ind w:left="737"/>
              <w:rPr>
                <w:bCs/>
                <w:sz w:val="24"/>
              </w:rPr>
            </w:pPr>
            <w:r w:rsidRPr="00E064B0">
              <w:rPr>
                <w:bCs/>
                <w:sz w:val="24"/>
              </w:rPr>
              <w:t xml:space="preserve">For patients on warfarin who are monitored by another provider the following Read codes should be used: </w:t>
            </w:r>
          </w:p>
          <w:p w14:paraId="0BFFDD74" w14:textId="05326B0C" w:rsidR="001C4A92" w:rsidRPr="00E064B0" w:rsidRDefault="00DE707F" w:rsidP="00505D11">
            <w:pPr>
              <w:pStyle w:val="TableParagraph"/>
              <w:tabs>
                <w:tab w:val="left" w:pos="824"/>
              </w:tabs>
              <w:ind w:left="737"/>
              <w:rPr>
                <w:bCs/>
                <w:sz w:val="24"/>
              </w:rPr>
            </w:pPr>
            <w:r>
              <w:rPr>
                <w:bCs/>
                <w:sz w:val="24"/>
              </w:rPr>
              <w:t xml:space="preserve">EMIS </w:t>
            </w:r>
            <w:r w:rsidR="001C4A92" w:rsidRPr="00DE707F">
              <w:rPr>
                <w:bCs/>
                <w:sz w:val="24"/>
              </w:rPr>
              <w:t>66QC</w:t>
            </w:r>
            <w:r>
              <w:rPr>
                <w:bCs/>
                <w:sz w:val="24"/>
              </w:rPr>
              <w:t xml:space="preserve"> SNOmed</w:t>
            </w:r>
            <w:r w:rsidRPr="00DE707F">
              <w:rPr>
                <w:bCs/>
                <w:sz w:val="24"/>
              </w:rPr>
              <w:t>:</w:t>
            </w:r>
            <w:r w:rsidR="001C4A92" w:rsidRPr="00E064B0">
              <w:rPr>
                <w:bCs/>
                <w:sz w:val="24"/>
              </w:rPr>
              <w:t xml:space="preserve"> </w:t>
            </w:r>
            <w:r w:rsidRPr="00DE707F">
              <w:rPr>
                <w:sz w:val="24"/>
              </w:rPr>
              <w:t>199761000000102</w:t>
            </w:r>
            <w:r>
              <w:rPr>
                <w:bCs/>
                <w:sz w:val="24"/>
              </w:rPr>
              <w:t xml:space="preserve"> </w:t>
            </w:r>
            <w:r w:rsidR="001C4A92" w:rsidRPr="00E064B0">
              <w:rPr>
                <w:bCs/>
                <w:sz w:val="24"/>
              </w:rPr>
              <w:t>Anticoagulation monitoring – secondary care</w:t>
            </w:r>
          </w:p>
          <w:p w14:paraId="1D4DA65B" w14:textId="3D0278DE" w:rsidR="001C4A92" w:rsidRDefault="00DE707F" w:rsidP="00505D11">
            <w:pPr>
              <w:pStyle w:val="TableParagraph"/>
              <w:tabs>
                <w:tab w:val="left" w:pos="824"/>
              </w:tabs>
              <w:ind w:left="737"/>
              <w:rPr>
                <w:bCs/>
                <w:sz w:val="24"/>
              </w:rPr>
            </w:pPr>
            <w:r>
              <w:rPr>
                <w:bCs/>
                <w:sz w:val="24"/>
              </w:rPr>
              <w:t xml:space="preserve">EMIS </w:t>
            </w:r>
            <w:r w:rsidR="001C4A92" w:rsidRPr="00DE707F">
              <w:rPr>
                <w:bCs/>
                <w:sz w:val="24"/>
              </w:rPr>
              <w:t>66QD</w:t>
            </w:r>
            <w:r>
              <w:rPr>
                <w:bCs/>
                <w:sz w:val="24"/>
              </w:rPr>
              <w:t xml:space="preserve"> SNOmed</w:t>
            </w:r>
            <w:r w:rsidRPr="00DE707F">
              <w:rPr>
                <w:bCs/>
                <w:sz w:val="24"/>
              </w:rPr>
              <w:t>:</w:t>
            </w:r>
            <w:r w:rsidR="001C4A92" w:rsidRPr="00E064B0">
              <w:rPr>
                <w:bCs/>
                <w:sz w:val="24"/>
              </w:rPr>
              <w:t xml:space="preserve"> </w:t>
            </w:r>
            <w:r w:rsidRPr="00DE707F">
              <w:rPr>
                <w:sz w:val="24"/>
              </w:rPr>
              <w:t>279231000000108</w:t>
            </w:r>
            <w:r>
              <w:rPr>
                <w:sz w:val="24"/>
              </w:rPr>
              <w:t xml:space="preserve"> </w:t>
            </w:r>
            <w:r w:rsidR="001C4A92" w:rsidRPr="00E064B0">
              <w:rPr>
                <w:bCs/>
                <w:sz w:val="24"/>
              </w:rPr>
              <w:t xml:space="preserve">Anticoagulation monitoring – </w:t>
            </w:r>
            <w:r w:rsidR="00E67B3F" w:rsidRPr="00E064B0">
              <w:rPr>
                <w:bCs/>
                <w:sz w:val="24"/>
              </w:rPr>
              <w:t>primary care</w:t>
            </w:r>
          </w:p>
          <w:p w14:paraId="0C245123" w14:textId="71301E32" w:rsidR="00F75DBB" w:rsidRDefault="00DE707F" w:rsidP="00505D11">
            <w:pPr>
              <w:pStyle w:val="TableParagraph"/>
              <w:tabs>
                <w:tab w:val="left" w:pos="824"/>
              </w:tabs>
              <w:ind w:left="737"/>
              <w:rPr>
                <w:bCs/>
                <w:sz w:val="24"/>
              </w:rPr>
            </w:pPr>
            <w:r>
              <w:rPr>
                <w:bCs/>
                <w:sz w:val="24"/>
              </w:rPr>
              <w:t xml:space="preserve">EMIS </w:t>
            </w:r>
            <w:r w:rsidR="00F75DBB">
              <w:rPr>
                <w:bCs/>
                <w:sz w:val="24"/>
              </w:rPr>
              <w:t>66QE</w:t>
            </w:r>
            <w:r>
              <w:rPr>
                <w:bCs/>
                <w:sz w:val="24"/>
              </w:rPr>
              <w:t xml:space="preserve"> SNOmed</w:t>
            </w:r>
            <w:r w:rsidRPr="00DE707F">
              <w:rPr>
                <w:bCs/>
                <w:sz w:val="24"/>
              </w:rPr>
              <w:t>:</w:t>
            </w:r>
            <w:r>
              <w:rPr>
                <w:bCs/>
                <w:sz w:val="24"/>
              </w:rPr>
              <w:t xml:space="preserve"> </w:t>
            </w:r>
            <w:r w:rsidRPr="00DE707F">
              <w:rPr>
                <w:sz w:val="24"/>
              </w:rPr>
              <w:t>309901000000107</w:t>
            </w:r>
            <w:r w:rsidRPr="00E064B0">
              <w:rPr>
                <w:bCs/>
                <w:sz w:val="24"/>
              </w:rPr>
              <w:t xml:space="preserve"> </w:t>
            </w:r>
            <w:r w:rsidR="00F75DBB">
              <w:rPr>
                <w:bCs/>
                <w:sz w:val="24"/>
              </w:rPr>
              <w:t>Self-testing of INR</w:t>
            </w:r>
          </w:p>
          <w:p w14:paraId="1325C0BC" w14:textId="04C5EAB5" w:rsidR="00505D11" w:rsidRPr="00457457" w:rsidRDefault="00DE707F" w:rsidP="00505D11">
            <w:pPr>
              <w:pStyle w:val="TableParagraph"/>
              <w:tabs>
                <w:tab w:val="left" w:pos="824"/>
              </w:tabs>
              <w:ind w:left="737"/>
              <w:rPr>
                <w:bCs/>
                <w:sz w:val="24"/>
              </w:rPr>
            </w:pPr>
            <w:r>
              <w:rPr>
                <w:bCs/>
                <w:sz w:val="24"/>
              </w:rPr>
              <w:t xml:space="preserve">EMIS </w:t>
            </w:r>
            <w:r w:rsidR="007E0F95">
              <w:rPr>
                <w:bCs/>
                <w:sz w:val="24"/>
              </w:rPr>
              <w:t>8BM5</w:t>
            </w:r>
            <w:r>
              <w:rPr>
                <w:bCs/>
                <w:sz w:val="24"/>
              </w:rPr>
              <w:t xml:space="preserve"> SNOmed</w:t>
            </w:r>
            <w:r w:rsidRPr="00DE707F">
              <w:rPr>
                <w:bCs/>
                <w:sz w:val="24"/>
              </w:rPr>
              <w:t>:</w:t>
            </w:r>
            <w:r>
              <w:rPr>
                <w:bCs/>
                <w:sz w:val="24"/>
              </w:rPr>
              <w:t xml:space="preserve"> </w:t>
            </w:r>
            <w:r w:rsidRPr="00DE707F">
              <w:rPr>
                <w:sz w:val="24"/>
              </w:rPr>
              <w:t>415522008</w:t>
            </w:r>
            <w:r w:rsidRPr="00E064B0">
              <w:rPr>
                <w:bCs/>
                <w:sz w:val="24"/>
              </w:rPr>
              <w:t xml:space="preserve"> </w:t>
            </w:r>
            <w:r w:rsidR="007E0F95">
              <w:rPr>
                <w:bCs/>
                <w:sz w:val="24"/>
              </w:rPr>
              <w:t xml:space="preserve"> Shared Care Prescribing</w:t>
            </w:r>
          </w:p>
          <w:p w14:paraId="16AD4900" w14:textId="241434D3" w:rsidR="0065502C" w:rsidRDefault="007A4E59" w:rsidP="0065502C">
            <w:pPr>
              <w:pStyle w:val="TableParagraph"/>
              <w:numPr>
                <w:ilvl w:val="2"/>
                <w:numId w:val="17"/>
              </w:numPr>
              <w:tabs>
                <w:tab w:val="left" w:pos="824"/>
              </w:tabs>
              <w:ind w:left="737" w:hanging="737"/>
              <w:rPr>
                <w:sz w:val="24"/>
              </w:rPr>
            </w:pPr>
            <w:r>
              <w:rPr>
                <w:b/>
                <w:sz w:val="24"/>
              </w:rPr>
              <w:t xml:space="preserve">Call and recall. </w:t>
            </w:r>
            <w:r w:rsidR="008430E8">
              <w:rPr>
                <w:sz w:val="24"/>
              </w:rPr>
              <w:t xml:space="preserve">Providers should ensure that a systematic call and recall </w:t>
            </w:r>
            <w:r w:rsidR="00FE084F">
              <w:rPr>
                <w:sz w:val="24"/>
              </w:rPr>
              <w:t>system</w:t>
            </w:r>
            <w:r w:rsidR="008430E8">
              <w:rPr>
                <w:sz w:val="24"/>
              </w:rPr>
              <w:t xml:space="preserve"> is in place </w:t>
            </w:r>
            <w:r w:rsidR="00FE084F">
              <w:rPr>
                <w:sz w:val="24"/>
              </w:rPr>
              <w:t>and should b</w:t>
            </w:r>
            <w:r w:rsidR="00317E5C">
              <w:rPr>
                <w:sz w:val="24"/>
              </w:rPr>
              <w:t>e</w:t>
            </w:r>
            <w:r w:rsidR="00FE084F">
              <w:rPr>
                <w:sz w:val="24"/>
              </w:rPr>
              <w:t xml:space="preserve"> able to demonstrate the effectiveness of the system. Under normal </w:t>
            </w:r>
            <w:r w:rsidR="0033527B">
              <w:rPr>
                <w:sz w:val="24"/>
              </w:rPr>
              <w:t xml:space="preserve">circumstances, a patient who </w:t>
            </w:r>
            <w:r w:rsidR="00E27FF0">
              <w:rPr>
                <w:sz w:val="24"/>
              </w:rPr>
              <w:t>fails</w:t>
            </w:r>
            <w:r w:rsidR="0033527B">
              <w:rPr>
                <w:sz w:val="24"/>
              </w:rPr>
              <w:t xml:space="preserve"> to attend a clinic</w:t>
            </w:r>
            <w:r w:rsidR="000D2A87">
              <w:rPr>
                <w:sz w:val="24"/>
              </w:rPr>
              <w:t xml:space="preserve"> or for monitoring tests</w:t>
            </w:r>
            <w:r w:rsidR="0033527B">
              <w:rPr>
                <w:sz w:val="24"/>
              </w:rPr>
              <w:t xml:space="preserve"> at an agreed time should b</w:t>
            </w:r>
            <w:r w:rsidR="00E27FF0">
              <w:rPr>
                <w:sz w:val="24"/>
              </w:rPr>
              <w:t>e contacted</w:t>
            </w:r>
            <w:r w:rsidR="0033527B">
              <w:rPr>
                <w:sz w:val="24"/>
              </w:rPr>
              <w:t xml:space="preserve"> initially by telephone. </w:t>
            </w:r>
            <w:r w:rsidR="00E27FF0">
              <w:rPr>
                <w:sz w:val="24"/>
              </w:rPr>
              <w:t xml:space="preserve">Where a </w:t>
            </w:r>
            <w:r w:rsidR="0066349C">
              <w:rPr>
                <w:sz w:val="24"/>
              </w:rPr>
              <w:t>patient</w:t>
            </w:r>
            <w:r w:rsidR="00E27FF0">
              <w:rPr>
                <w:sz w:val="24"/>
              </w:rPr>
              <w:t xml:space="preserve"> fails to attend, consideration should be given as to whether it is safe </w:t>
            </w:r>
            <w:r w:rsidR="0066349C">
              <w:rPr>
                <w:sz w:val="24"/>
              </w:rPr>
              <w:t>to continue prescribing the medi</w:t>
            </w:r>
            <w:r w:rsidR="00AF6DA3">
              <w:rPr>
                <w:sz w:val="24"/>
              </w:rPr>
              <w:t>cine until the patient is seen or test results received.</w:t>
            </w:r>
          </w:p>
          <w:p w14:paraId="655D410C" w14:textId="05CE4BA9" w:rsidR="0065502C" w:rsidRDefault="0065502C" w:rsidP="0065502C">
            <w:pPr>
              <w:pStyle w:val="TableParagraph"/>
              <w:numPr>
                <w:ilvl w:val="2"/>
                <w:numId w:val="17"/>
              </w:numPr>
              <w:tabs>
                <w:tab w:val="left" w:pos="824"/>
              </w:tabs>
              <w:ind w:left="737" w:hanging="737"/>
              <w:rPr>
                <w:sz w:val="24"/>
              </w:rPr>
            </w:pPr>
            <w:r>
              <w:rPr>
                <w:b/>
                <w:sz w:val="24"/>
              </w:rPr>
              <w:t>Safety systems and process</w:t>
            </w:r>
            <w:r w:rsidR="00AF6DA3">
              <w:rPr>
                <w:sz w:val="24"/>
              </w:rPr>
              <w:t xml:space="preserve"> </w:t>
            </w:r>
            <w:r>
              <w:rPr>
                <w:sz w:val="24"/>
              </w:rPr>
              <w:t xml:space="preserve"> </w:t>
            </w:r>
          </w:p>
          <w:p w14:paraId="2999DD63" w14:textId="71163802" w:rsidR="0065502C" w:rsidRPr="00DF0298" w:rsidRDefault="0065502C" w:rsidP="0065502C">
            <w:pPr>
              <w:pStyle w:val="TableParagraph"/>
              <w:tabs>
                <w:tab w:val="left" w:pos="824"/>
              </w:tabs>
              <w:ind w:left="737"/>
              <w:rPr>
                <w:sz w:val="24"/>
              </w:rPr>
            </w:pPr>
            <w:r w:rsidRPr="0065502C">
              <w:rPr>
                <w:sz w:val="24"/>
              </w:rPr>
              <w:t>Practice</w:t>
            </w:r>
            <w:r>
              <w:rPr>
                <w:sz w:val="24"/>
              </w:rPr>
              <w:t xml:space="preserve">s should implement systems and processes to enable them to identify </w:t>
            </w:r>
            <w:r w:rsidR="00C7431E">
              <w:rPr>
                <w:sz w:val="24"/>
              </w:rPr>
              <w:t xml:space="preserve">and manage </w:t>
            </w:r>
            <w:r>
              <w:rPr>
                <w:sz w:val="24"/>
              </w:rPr>
              <w:t xml:space="preserve">patients at risk of Hospital Admissions Related to Medicines (HARMS) or serious adverse events from medicines. The CCG recommends the use of PINCER and/or ECLIPSE to support this. CCG support can be provided to implement these </w:t>
            </w:r>
            <w:r w:rsidR="00C92C11" w:rsidRPr="00DF0298">
              <w:rPr>
                <w:sz w:val="24"/>
              </w:rPr>
              <w:t xml:space="preserve">software </w:t>
            </w:r>
            <w:r w:rsidRPr="00DF0298">
              <w:rPr>
                <w:sz w:val="24"/>
              </w:rPr>
              <w:t>systems</w:t>
            </w:r>
            <w:r w:rsidR="00130F4A" w:rsidRPr="00DF0298">
              <w:rPr>
                <w:sz w:val="24"/>
              </w:rPr>
              <w:t xml:space="preserve"> and</w:t>
            </w:r>
            <w:r w:rsidR="00C92C11" w:rsidRPr="00DF0298">
              <w:rPr>
                <w:sz w:val="24"/>
              </w:rPr>
              <w:t xml:space="preserve"> suggest best practice approaches to utilising these systems as a tool to support the identification of high risk patients</w:t>
            </w:r>
            <w:r w:rsidRPr="00DF0298">
              <w:rPr>
                <w:sz w:val="24"/>
              </w:rPr>
              <w:t>.</w:t>
            </w:r>
          </w:p>
          <w:p w14:paraId="4E148364" w14:textId="64D25C03" w:rsidR="000369A6" w:rsidRDefault="007A4E59" w:rsidP="00505D11">
            <w:pPr>
              <w:pStyle w:val="TableParagraph"/>
              <w:numPr>
                <w:ilvl w:val="2"/>
                <w:numId w:val="17"/>
              </w:numPr>
              <w:tabs>
                <w:tab w:val="left" w:pos="824"/>
              </w:tabs>
              <w:rPr>
                <w:sz w:val="24"/>
              </w:rPr>
            </w:pPr>
            <w:r>
              <w:rPr>
                <w:b/>
                <w:sz w:val="24"/>
              </w:rPr>
              <w:t>Professional links</w:t>
            </w:r>
            <w:r w:rsidR="004C60DC">
              <w:rPr>
                <w:b/>
                <w:sz w:val="24"/>
              </w:rPr>
              <w:t xml:space="preserve"> and </w:t>
            </w:r>
            <w:r w:rsidR="00317E5C">
              <w:rPr>
                <w:b/>
                <w:sz w:val="24"/>
              </w:rPr>
              <w:t>communication</w:t>
            </w:r>
            <w:r>
              <w:rPr>
                <w:b/>
                <w:sz w:val="24"/>
              </w:rPr>
              <w:t xml:space="preserve">. </w:t>
            </w:r>
            <w:r w:rsidR="00F97441">
              <w:rPr>
                <w:sz w:val="24"/>
              </w:rPr>
              <w:t xml:space="preserve">Where the </w:t>
            </w:r>
            <w:r w:rsidR="004C60DC">
              <w:rPr>
                <w:sz w:val="24"/>
              </w:rPr>
              <w:t>service</w:t>
            </w:r>
            <w:r w:rsidR="00F97441">
              <w:rPr>
                <w:sz w:val="24"/>
              </w:rPr>
              <w:t xml:space="preserve"> is not provided by the </w:t>
            </w:r>
            <w:r w:rsidR="004C60DC">
              <w:rPr>
                <w:sz w:val="24"/>
              </w:rPr>
              <w:t>patient’s</w:t>
            </w:r>
            <w:r w:rsidR="00F97441">
              <w:rPr>
                <w:sz w:val="24"/>
              </w:rPr>
              <w:t xml:space="preserve"> GP practice, the service provider and the </w:t>
            </w:r>
            <w:r w:rsidR="004C60DC">
              <w:rPr>
                <w:sz w:val="24"/>
              </w:rPr>
              <w:t>patient’s</w:t>
            </w:r>
            <w:r w:rsidR="00F97441">
              <w:rPr>
                <w:sz w:val="24"/>
              </w:rPr>
              <w:t xml:space="preserve"> GP have a shared responsibility for ensuring </w:t>
            </w:r>
            <w:r w:rsidR="004C60DC">
              <w:rPr>
                <w:sz w:val="24"/>
              </w:rPr>
              <w:t xml:space="preserve">a </w:t>
            </w:r>
            <w:r w:rsidR="00F97441">
              <w:rPr>
                <w:sz w:val="24"/>
              </w:rPr>
              <w:t>ro</w:t>
            </w:r>
            <w:r w:rsidR="004C60DC">
              <w:rPr>
                <w:sz w:val="24"/>
              </w:rPr>
              <w:t>b</w:t>
            </w:r>
            <w:r w:rsidR="00F97441">
              <w:rPr>
                <w:sz w:val="24"/>
              </w:rPr>
              <w:t>ust communication</w:t>
            </w:r>
            <w:r w:rsidR="004C60DC">
              <w:rPr>
                <w:sz w:val="24"/>
              </w:rPr>
              <w:t xml:space="preserve"> system is in place. </w:t>
            </w:r>
            <w:r w:rsidR="00F97441">
              <w:rPr>
                <w:sz w:val="24"/>
              </w:rPr>
              <w:t xml:space="preserve"> </w:t>
            </w:r>
          </w:p>
          <w:p w14:paraId="0401606F" w14:textId="2D31A894" w:rsidR="000369A6" w:rsidRDefault="007A4E59" w:rsidP="00505D11">
            <w:pPr>
              <w:pStyle w:val="TableParagraph"/>
              <w:numPr>
                <w:ilvl w:val="2"/>
                <w:numId w:val="17"/>
              </w:numPr>
              <w:tabs>
                <w:tab w:val="left" w:pos="824"/>
              </w:tabs>
              <w:ind w:right="104"/>
              <w:rPr>
                <w:sz w:val="24"/>
              </w:rPr>
            </w:pPr>
            <w:r>
              <w:rPr>
                <w:b/>
                <w:sz w:val="24"/>
              </w:rPr>
              <w:t xml:space="preserve">Referral policies. </w:t>
            </w:r>
            <w:r w:rsidR="00042527">
              <w:rPr>
                <w:sz w:val="24"/>
              </w:rPr>
              <w:t>Providers should</w:t>
            </w:r>
            <w:r w:rsidR="00985F63">
              <w:rPr>
                <w:sz w:val="24"/>
              </w:rPr>
              <w:t>,</w:t>
            </w:r>
            <w:r w:rsidR="00042527">
              <w:rPr>
                <w:sz w:val="24"/>
              </w:rPr>
              <w:t xml:space="preserve"> w</w:t>
            </w:r>
            <w:r>
              <w:rPr>
                <w:sz w:val="24"/>
              </w:rPr>
              <w:t>hen appropriate</w:t>
            </w:r>
            <w:r w:rsidR="00985F63">
              <w:rPr>
                <w:sz w:val="24"/>
              </w:rPr>
              <w:t>,</w:t>
            </w:r>
            <w:r>
              <w:rPr>
                <w:sz w:val="24"/>
              </w:rPr>
              <w:t xml:space="preserve"> refer patients promptly to </w:t>
            </w:r>
            <w:r w:rsidR="009602F4">
              <w:rPr>
                <w:sz w:val="24"/>
              </w:rPr>
              <w:t>other necessary</w:t>
            </w:r>
            <w:r>
              <w:rPr>
                <w:sz w:val="24"/>
              </w:rPr>
              <w:t xml:space="preserve"> services and to the relevant support agencies using locally agreed guidelines where these</w:t>
            </w:r>
            <w:r>
              <w:rPr>
                <w:spacing w:val="-12"/>
                <w:sz w:val="24"/>
              </w:rPr>
              <w:t xml:space="preserve"> </w:t>
            </w:r>
            <w:r>
              <w:rPr>
                <w:sz w:val="24"/>
              </w:rPr>
              <w:t>exist.</w:t>
            </w:r>
          </w:p>
          <w:p w14:paraId="37721424" w14:textId="69C75C33" w:rsidR="00447331" w:rsidRDefault="00054ADC" w:rsidP="00505D11">
            <w:pPr>
              <w:pStyle w:val="ListParagraph"/>
              <w:numPr>
                <w:ilvl w:val="2"/>
                <w:numId w:val="17"/>
              </w:numPr>
              <w:rPr>
                <w:sz w:val="24"/>
              </w:rPr>
            </w:pPr>
            <w:r w:rsidRPr="00447331">
              <w:rPr>
                <w:b/>
                <w:sz w:val="24"/>
              </w:rPr>
              <w:t xml:space="preserve">Training and Quality and Safety Requirements. </w:t>
            </w:r>
            <w:r w:rsidR="000634BB" w:rsidRPr="00447331">
              <w:rPr>
                <w:sz w:val="24"/>
              </w:rPr>
              <w:t xml:space="preserve">Service providers must ensure they have </w:t>
            </w:r>
            <w:r w:rsidR="00063346" w:rsidRPr="00447331">
              <w:rPr>
                <w:sz w:val="24"/>
              </w:rPr>
              <w:t>sufficient</w:t>
            </w:r>
            <w:r w:rsidR="000634BB" w:rsidRPr="00447331">
              <w:rPr>
                <w:sz w:val="24"/>
              </w:rPr>
              <w:t xml:space="preserve"> </w:t>
            </w:r>
            <w:r w:rsidR="00063346" w:rsidRPr="00447331">
              <w:rPr>
                <w:sz w:val="24"/>
              </w:rPr>
              <w:t xml:space="preserve">workforce capacity, capability and sustainability to ensure effective service delivery. </w:t>
            </w:r>
            <w:r w:rsidR="000634BB" w:rsidRPr="00447331">
              <w:rPr>
                <w:b/>
                <w:sz w:val="24"/>
              </w:rPr>
              <w:t xml:space="preserve"> </w:t>
            </w:r>
            <w:r w:rsidR="00AA5EA7" w:rsidRPr="00447331">
              <w:rPr>
                <w:sz w:val="24"/>
              </w:rPr>
              <w:t xml:space="preserve">This should include </w:t>
            </w:r>
            <w:r w:rsidR="005C2774" w:rsidRPr="00447331">
              <w:rPr>
                <w:sz w:val="24"/>
              </w:rPr>
              <w:t>contingency</w:t>
            </w:r>
            <w:r w:rsidR="0093418A" w:rsidRPr="00447331">
              <w:rPr>
                <w:sz w:val="24"/>
              </w:rPr>
              <w:t xml:space="preserve"> plans to </w:t>
            </w:r>
            <w:r w:rsidR="005C2774" w:rsidRPr="00447331">
              <w:rPr>
                <w:sz w:val="24"/>
              </w:rPr>
              <w:t>cover</w:t>
            </w:r>
            <w:r w:rsidR="0093418A" w:rsidRPr="00447331">
              <w:rPr>
                <w:sz w:val="24"/>
              </w:rPr>
              <w:t xml:space="preserve"> periods of absence for annual leave or sickness</w:t>
            </w:r>
            <w:r w:rsidR="005C2774" w:rsidRPr="00447331">
              <w:rPr>
                <w:sz w:val="24"/>
              </w:rPr>
              <w:t xml:space="preserve">. </w:t>
            </w:r>
            <w:r w:rsidRPr="00447331">
              <w:rPr>
                <w:sz w:val="24"/>
              </w:rPr>
              <w:t xml:space="preserve">All staff/ health professionals involved in providing any aspect of care under this scheme must have the necessary training and skills to do so for the elements of the service that they provide. </w:t>
            </w:r>
          </w:p>
          <w:p w14:paraId="7A26108F" w14:textId="25CA3766" w:rsidR="00BA36E8" w:rsidRPr="00D9258F" w:rsidRDefault="00054ADC" w:rsidP="00505D11">
            <w:pPr>
              <w:pStyle w:val="TableParagraph"/>
              <w:numPr>
                <w:ilvl w:val="2"/>
                <w:numId w:val="17"/>
              </w:numPr>
              <w:tabs>
                <w:tab w:val="left" w:pos="824"/>
              </w:tabs>
              <w:ind w:right="104"/>
              <w:rPr>
                <w:sz w:val="24"/>
              </w:rPr>
            </w:pPr>
            <w:r>
              <w:rPr>
                <w:b/>
                <w:sz w:val="24"/>
              </w:rPr>
              <w:lastRenderedPageBreak/>
              <w:t xml:space="preserve">Provision of adequate facilities including premises. </w:t>
            </w:r>
            <w:r>
              <w:rPr>
                <w:sz w:val="24"/>
              </w:rPr>
              <w:t>All premises providing any aspect of this service must have adequate equipment and protocols including standard</w:t>
            </w:r>
            <w:r w:rsidR="00130F4A">
              <w:rPr>
                <w:sz w:val="24"/>
              </w:rPr>
              <w:t xml:space="preserve"> operating procedures in place. </w:t>
            </w:r>
          </w:p>
          <w:p w14:paraId="61DA8C39" w14:textId="429F9527" w:rsidR="00D9258F" w:rsidRDefault="00D9258F" w:rsidP="00505D11">
            <w:pPr>
              <w:pStyle w:val="TableParagraph"/>
              <w:numPr>
                <w:ilvl w:val="2"/>
                <w:numId w:val="17"/>
              </w:numPr>
              <w:tabs>
                <w:tab w:val="left" w:pos="824"/>
              </w:tabs>
              <w:ind w:right="104"/>
              <w:rPr>
                <w:sz w:val="24"/>
              </w:rPr>
            </w:pPr>
            <w:r w:rsidRPr="00D9258F">
              <w:rPr>
                <w:b/>
                <w:sz w:val="24"/>
              </w:rPr>
              <w:t>Annual review</w:t>
            </w:r>
            <w:r w:rsidRPr="00D9258F">
              <w:rPr>
                <w:sz w:val="24"/>
              </w:rPr>
              <w:t>.  Providers should be able to provide the following information to the CCG when requested:</w:t>
            </w:r>
          </w:p>
          <w:p w14:paraId="688A78D1" w14:textId="77777777" w:rsidR="00D9258F" w:rsidRPr="00D9258F" w:rsidRDefault="00D9258F" w:rsidP="00505D11">
            <w:pPr>
              <w:pStyle w:val="TableParagraph"/>
              <w:numPr>
                <w:ilvl w:val="2"/>
                <w:numId w:val="26"/>
              </w:numPr>
              <w:tabs>
                <w:tab w:val="left" w:pos="824"/>
              </w:tabs>
              <w:ind w:left="851" w:right="102" w:firstLine="0"/>
              <w:rPr>
                <w:sz w:val="24"/>
              </w:rPr>
            </w:pPr>
            <w:r w:rsidRPr="00D9258F">
              <w:rPr>
                <w:sz w:val="24"/>
              </w:rPr>
              <w:t>Details of training and education relevant to the drug monitoring service.</w:t>
            </w:r>
          </w:p>
          <w:p w14:paraId="2349DE11" w14:textId="77777777" w:rsidR="00D9258F" w:rsidRPr="00D9258F" w:rsidRDefault="00D9258F" w:rsidP="00505D11">
            <w:pPr>
              <w:pStyle w:val="TableParagraph"/>
              <w:numPr>
                <w:ilvl w:val="2"/>
                <w:numId w:val="26"/>
              </w:numPr>
              <w:tabs>
                <w:tab w:val="left" w:pos="824"/>
              </w:tabs>
              <w:ind w:left="851" w:right="102" w:firstLine="0"/>
              <w:rPr>
                <w:sz w:val="24"/>
              </w:rPr>
            </w:pPr>
            <w:r w:rsidRPr="00D9258F">
              <w:rPr>
                <w:sz w:val="24"/>
              </w:rPr>
              <w:t>Details of the standards used for the control of the relevant condition.</w:t>
            </w:r>
          </w:p>
          <w:p w14:paraId="23F7A573" w14:textId="1F2D6E04" w:rsidR="00D9258F" w:rsidRDefault="00D9258F" w:rsidP="00505D11">
            <w:pPr>
              <w:pStyle w:val="TableParagraph"/>
              <w:numPr>
                <w:ilvl w:val="2"/>
                <w:numId w:val="26"/>
              </w:numPr>
              <w:tabs>
                <w:tab w:val="left" w:pos="824"/>
              </w:tabs>
              <w:ind w:left="851" w:right="102" w:firstLine="0"/>
              <w:rPr>
                <w:sz w:val="24"/>
              </w:rPr>
            </w:pPr>
            <w:r w:rsidRPr="00D9258F">
              <w:rPr>
                <w:sz w:val="24"/>
              </w:rPr>
              <w:t xml:space="preserve">Assurance that any staff member responsible for prescribing </w:t>
            </w:r>
            <w:r w:rsidR="000D2A87">
              <w:rPr>
                <w:sz w:val="24"/>
              </w:rPr>
              <w:t>has</w:t>
            </w:r>
            <w:r w:rsidRPr="00D9258F">
              <w:rPr>
                <w:sz w:val="24"/>
              </w:rPr>
              <w:t xml:space="preserve"> </w:t>
            </w:r>
            <w:r w:rsidR="00945926">
              <w:rPr>
                <w:sz w:val="24"/>
              </w:rPr>
              <w:tab/>
            </w:r>
            <w:r w:rsidRPr="00D9258F">
              <w:rPr>
                <w:sz w:val="24"/>
              </w:rPr>
              <w:t>developed the necessary skills to prescribe safely</w:t>
            </w:r>
          </w:p>
          <w:p w14:paraId="6F70B684" w14:textId="147007E3" w:rsidR="0030780A" w:rsidRPr="00BA36E8" w:rsidRDefault="0030780A" w:rsidP="00D9258F">
            <w:pPr>
              <w:pStyle w:val="TableParagraph"/>
              <w:numPr>
                <w:ilvl w:val="2"/>
                <w:numId w:val="26"/>
              </w:numPr>
              <w:tabs>
                <w:tab w:val="left" w:pos="824"/>
              </w:tabs>
              <w:ind w:left="851" w:right="102" w:firstLine="0"/>
              <w:jc w:val="both"/>
              <w:rPr>
                <w:sz w:val="24"/>
              </w:rPr>
            </w:pPr>
            <w:r>
              <w:rPr>
                <w:sz w:val="24"/>
              </w:rPr>
              <w:t>Details of the call/recall system</w:t>
            </w:r>
          </w:p>
          <w:p w14:paraId="32DFDAF8" w14:textId="77777777" w:rsidR="00D41107" w:rsidRPr="00D9258F" w:rsidRDefault="00D41107" w:rsidP="00D41107">
            <w:pPr>
              <w:pStyle w:val="TableParagraph"/>
              <w:numPr>
                <w:ilvl w:val="2"/>
                <w:numId w:val="26"/>
              </w:numPr>
              <w:tabs>
                <w:tab w:val="left" w:pos="824"/>
              </w:tabs>
              <w:ind w:left="851" w:right="102" w:firstLine="0"/>
              <w:rPr>
                <w:sz w:val="24"/>
              </w:rPr>
            </w:pPr>
            <w:r w:rsidRPr="00D9258F">
              <w:rPr>
                <w:sz w:val="24"/>
              </w:rPr>
              <w:t xml:space="preserve">Details </w:t>
            </w:r>
            <w:r>
              <w:rPr>
                <w:sz w:val="24"/>
              </w:rPr>
              <w:t>of</w:t>
            </w:r>
            <w:r w:rsidRPr="00D9258F">
              <w:rPr>
                <w:sz w:val="24"/>
              </w:rPr>
              <w:t xml:space="preserve"> any computer-assisted decision-making equipment used and </w:t>
            </w:r>
            <w:r>
              <w:rPr>
                <w:sz w:val="24"/>
              </w:rPr>
              <w:tab/>
            </w:r>
            <w:r w:rsidRPr="00D9258F">
              <w:rPr>
                <w:sz w:val="24"/>
              </w:rPr>
              <w:t>arrangements for internal and external quality assurance</w:t>
            </w:r>
            <w:r>
              <w:rPr>
                <w:sz w:val="24"/>
              </w:rPr>
              <w:t xml:space="preserve"> (where           applicable)</w:t>
            </w:r>
            <w:r w:rsidRPr="00D9258F">
              <w:rPr>
                <w:sz w:val="24"/>
              </w:rPr>
              <w:t>.</w:t>
            </w:r>
          </w:p>
          <w:p w14:paraId="50E03A94" w14:textId="77777777" w:rsidR="00D41107" w:rsidRPr="00D9258F" w:rsidRDefault="00D41107" w:rsidP="00D41107">
            <w:pPr>
              <w:pStyle w:val="TableParagraph"/>
              <w:numPr>
                <w:ilvl w:val="2"/>
                <w:numId w:val="26"/>
              </w:numPr>
              <w:tabs>
                <w:tab w:val="left" w:pos="824"/>
              </w:tabs>
              <w:ind w:left="851" w:right="102" w:firstLine="0"/>
              <w:rPr>
                <w:sz w:val="24"/>
              </w:rPr>
            </w:pPr>
            <w:r w:rsidRPr="00D9258F">
              <w:rPr>
                <w:sz w:val="24"/>
              </w:rPr>
              <w:t xml:space="preserve">Details </w:t>
            </w:r>
            <w:r>
              <w:rPr>
                <w:sz w:val="24"/>
              </w:rPr>
              <w:t>of</w:t>
            </w:r>
            <w:r w:rsidRPr="00D9258F">
              <w:rPr>
                <w:sz w:val="24"/>
              </w:rPr>
              <w:t xml:space="preserve"> any near- patient testing equipment used and arrangements for </w:t>
            </w:r>
            <w:r>
              <w:rPr>
                <w:sz w:val="24"/>
              </w:rPr>
              <w:tab/>
            </w:r>
            <w:r w:rsidRPr="00D9258F">
              <w:rPr>
                <w:sz w:val="24"/>
              </w:rPr>
              <w:t>internal and external quality assurance</w:t>
            </w:r>
            <w:r>
              <w:rPr>
                <w:sz w:val="24"/>
              </w:rPr>
              <w:t xml:space="preserve"> (where applicable)</w:t>
            </w:r>
            <w:r w:rsidRPr="00D9258F">
              <w:rPr>
                <w:sz w:val="24"/>
              </w:rPr>
              <w:t>.</w:t>
            </w:r>
          </w:p>
          <w:p w14:paraId="04F44BFC" w14:textId="34C90B21" w:rsidR="00BA36E8" w:rsidRDefault="00BA36E8" w:rsidP="00D9258F">
            <w:pPr>
              <w:pStyle w:val="TableParagraph"/>
              <w:tabs>
                <w:tab w:val="left" w:pos="824"/>
              </w:tabs>
              <w:ind w:left="851" w:right="102"/>
              <w:jc w:val="both"/>
              <w:rPr>
                <w:sz w:val="24"/>
              </w:rPr>
            </w:pPr>
          </w:p>
          <w:p w14:paraId="2E5A746E" w14:textId="0F326D32" w:rsidR="00BA36E8" w:rsidRDefault="00BA36E8" w:rsidP="00BA36E8">
            <w:pPr>
              <w:pStyle w:val="TableParagraph"/>
              <w:numPr>
                <w:ilvl w:val="1"/>
                <w:numId w:val="17"/>
              </w:numPr>
              <w:tabs>
                <w:tab w:val="left" w:pos="824"/>
              </w:tabs>
              <w:ind w:right="104"/>
              <w:jc w:val="both"/>
              <w:rPr>
                <w:b/>
                <w:sz w:val="24"/>
              </w:rPr>
            </w:pPr>
            <w:r>
              <w:rPr>
                <w:b/>
                <w:sz w:val="24"/>
              </w:rPr>
              <w:t xml:space="preserve">Care Pathway </w:t>
            </w:r>
          </w:p>
          <w:p w14:paraId="78166BCC" w14:textId="77777777" w:rsidR="00BA36E8" w:rsidRPr="00BA36E8" w:rsidRDefault="00BA36E8" w:rsidP="00BA36E8">
            <w:pPr>
              <w:pStyle w:val="TableParagraph"/>
              <w:tabs>
                <w:tab w:val="left" w:pos="824"/>
              </w:tabs>
              <w:ind w:left="525" w:right="104"/>
              <w:jc w:val="both"/>
              <w:rPr>
                <w:b/>
                <w:sz w:val="24"/>
              </w:rPr>
            </w:pPr>
          </w:p>
          <w:p w14:paraId="583B99BA" w14:textId="60B92401" w:rsidR="00250097" w:rsidRDefault="00250097" w:rsidP="00250097">
            <w:pPr>
              <w:pStyle w:val="TableParagraph"/>
              <w:numPr>
                <w:ilvl w:val="2"/>
                <w:numId w:val="17"/>
              </w:numPr>
              <w:tabs>
                <w:tab w:val="left" w:pos="824"/>
              </w:tabs>
              <w:ind w:right="100"/>
              <w:jc w:val="both"/>
              <w:rPr>
                <w:sz w:val="24"/>
              </w:rPr>
            </w:pPr>
            <w:r>
              <w:rPr>
                <w:b/>
                <w:sz w:val="24"/>
              </w:rPr>
              <w:t>Education and newly diagnosed patients.</w:t>
            </w:r>
            <w:r w:rsidR="001D0BEB">
              <w:rPr>
                <w:b/>
                <w:sz w:val="24"/>
              </w:rPr>
              <w:t xml:space="preserve"> </w:t>
            </w:r>
            <w:r w:rsidR="00E56AFA">
              <w:rPr>
                <w:sz w:val="24"/>
              </w:rPr>
              <w:t xml:space="preserve">The initiating clinician </w:t>
            </w:r>
            <w:r w:rsidR="001D0BEB">
              <w:rPr>
                <w:sz w:val="24"/>
              </w:rPr>
              <w:t xml:space="preserve">should </w:t>
            </w:r>
            <w:r>
              <w:rPr>
                <w:sz w:val="24"/>
              </w:rPr>
              <w:t>ensure that all newly diagnosed/ treated patients (and/ or their carers and support staff when appropriate) receive appropriate education and advice on the management of their condition and any secondary complications that may arise. This should include written information where appropriate</w:t>
            </w:r>
            <w:r w:rsidR="00A953CF">
              <w:rPr>
                <w:sz w:val="24"/>
              </w:rPr>
              <w:t xml:space="preserve"> and</w:t>
            </w:r>
            <w:r w:rsidR="00FE68AB">
              <w:rPr>
                <w:sz w:val="24"/>
              </w:rPr>
              <w:t xml:space="preserve"> for warfarin should</w:t>
            </w:r>
            <w:r w:rsidR="00A953CF">
              <w:rPr>
                <w:sz w:val="24"/>
              </w:rPr>
              <w:t xml:space="preserve"> include the hand held </w:t>
            </w:r>
            <w:r w:rsidR="00FE68AB">
              <w:rPr>
                <w:sz w:val="24"/>
              </w:rPr>
              <w:t>‘</w:t>
            </w:r>
            <w:r w:rsidR="000B4F33">
              <w:rPr>
                <w:sz w:val="24"/>
              </w:rPr>
              <w:t>Yellow Book</w:t>
            </w:r>
            <w:r w:rsidR="00FE68AB">
              <w:rPr>
                <w:sz w:val="24"/>
              </w:rPr>
              <w:t>’</w:t>
            </w:r>
            <w:r w:rsidR="000B4F33">
              <w:rPr>
                <w:sz w:val="24"/>
              </w:rPr>
              <w:t xml:space="preserve"> or equivalent</w:t>
            </w:r>
            <w:r w:rsidR="00E56AFA">
              <w:rPr>
                <w:sz w:val="24"/>
              </w:rPr>
              <w:t xml:space="preserve"> anticoagulation record</w:t>
            </w:r>
            <w:r w:rsidR="000B4F33">
              <w:rPr>
                <w:sz w:val="24"/>
              </w:rPr>
              <w:t xml:space="preserve">. </w:t>
            </w:r>
          </w:p>
          <w:p w14:paraId="379BC563" w14:textId="77777777" w:rsidR="00B7503D" w:rsidRDefault="00250097" w:rsidP="00B7503D">
            <w:pPr>
              <w:pStyle w:val="TableParagraph"/>
              <w:numPr>
                <w:ilvl w:val="2"/>
                <w:numId w:val="17"/>
              </w:numPr>
              <w:tabs>
                <w:tab w:val="left" w:pos="824"/>
              </w:tabs>
              <w:ind w:right="100"/>
              <w:jc w:val="both"/>
              <w:rPr>
                <w:sz w:val="24"/>
              </w:rPr>
            </w:pPr>
            <w:r>
              <w:rPr>
                <w:b/>
                <w:sz w:val="24"/>
              </w:rPr>
              <w:t>Continuing information for patients</w:t>
            </w:r>
            <w:r>
              <w:rPr>
                <w:sz w:val="24"/>
              </w:rPr>
              <w:t>.</w:t>
            </w:r>
            <w:r>
              <w:rPr>
                <w:b/>
                <w:sz w:val="24"/>
              </w:rPr>
              <w:t xml:space="preserve"> </w:t>
            </w:r>
            <w:r>
              <w:rPr>
                <w:sz w:val="24"/>
              </w:rPr>
              <w:t>To ensure that all patients (and/ or their carers and support staff when appropriate) are informed of how to access appropriate and relevant information.</w:t>
            </w:r>
          </w:p>
          <w:p w14:paraId="2CBBFA2A" w14:textId="6DF04320" w:rsidR="00733A98" w:rsidRPr="00B7503D" w:rsidRDefault="00435A12" w:rsidP="00B7503D">
            <w:pPr>
              <w:pStyle w:val="TableParagraph"/>
              <w:numPr>
                <w:ilvl w:val="2"/>
                <w:numId w:val="17"/>
              </w:numPr>
              <w:tabs>
                <w:tab w:val="left" w:pos="824"/>
              </w:tabs>
              <w:ind w:right="100"/>
              <w:jc w:val="both"/>
              <w:rPr>
                <w:sz w:val="24"/>
              </w:rPr>
            </w:pPr>
            <w:r w:rsidRPr="00B7503D">
              <w:rPr>
                <w:b/>
                <w:sz w:val="24"/>
              </w:rPr>
              <w:t>Individual management plan.</w:t>
            </w:r>
            <w:r w:rsidR="009A1AB0" w:rsidRPr="00B7503D">
              <w:rPr>
                <w:b/>
                <w:sz w:val="24"/>
              </w:rPr>
              <w:t xml:space="preserve"> </w:t>
            </w:r>
            <w:r w:rsidR="00E56AFA" w:rsidRPr="00B7503D">
              <w:rPr>
                <w:sz w:val="24"/>
              </w:rPr>
              <w:t xml:space="preserve">The initiating clinician </w:t>
            </w:r>
            <w:r w:rsidR="00D16EA9" w:rsidRPr="00B7503D">
              <w:rPr>
                <w:sz w:val="24"/>
              </w:rPr>
              <w:t xml:space="preserve">should </w:t>
            </w:r>
            <w:r w:rsidRPr="00B7503D">
              <w:rPr>
                <w:sz w:val="24"/>
              </w:rPr>
              <w:t>ensure the patient has an individual management plan</w:t>
            </w:r>
            <w:r w:rsidR="002B2F4B" w:rsidRPr="00B7503D">
              <w:rPr>
                <w:sz w:val="24"/>
              </w:rPr>
              <w:t xml:space="preserve"> where appropriate</w:t>
            </w:r>
            <w:r w:rsidRPr="00B7503D">
              <w:rPr>
                <w:sz w:val="24"/>
              </w:rPr>
              <w:t xml:space="preserve"> which gives the reason for the treatment, the planned duration, the monitoring timetable and, if appropriate the therapeutic range to be obtained</w:t>
            </w:r>
          </w:p>
          <w:p w14:paraId="6C8AC715" w14:textId="032D3786" w:rsidR="00623B1C" w:rsidRDefault="00E411C1" w:rsidP="00AA209B">
            <w:pPr>
              <w:pStyle w:val="TableParagraph"/>
              <w:numPr>
                <w:ilvl w:val="2"/>
                <w:numId w:val="17"/>
              </w:numPr>
              <w:tabs>
                <w:tab w:val="left" w:pos="824"/>
              </w:tabs>
              <w:ind w:right="96"/>
              <w:jc w:val="both"/>
              <w:rPr>
                <w:sz w:val="24"/>
              </w:rPr>
            </w:pPr>
            <w:r w:rsidRPr="007F7289">
              <w:rPr>
                <w:b/>
                <w:sz w:val="24"/>
              </w:rPr>
              <w:t>Prescribing</w:t>
            </w:r>
            <w:r w:rsidR="007F7289" w:rsidRPr="007F7289">
              <w:rPr>
                <w:b/>
                <w:sz w:val="24"/>
              </w:rPr>
              <w:t xml:space="preserve"> </w:t>
            </w:r>
            <w:r w:rsidR="007F7289" w:rsidRPr="007F7289">
              <w:rPr>
                <w:sz w:val="24"/>
              </w:rPr>
              <w:t xml:space="preserve">The prescription of the medication is the </w:t>
            </w:r>
            <w:r w:rsidR="000A1B35">
              <w:rPr>
                <w:sz w:val="24"/>
              </w:rPr>
              <w:t xml:space="preserve">responsibility of the patient’s </w:t>
            </w:r>
            <w:r w:rsidR="007F7289" w:rsidRPr="007F7289">
              <w:rPr>
                <w:sz w:val="24"/>
              </w:rPr>
              <w:t>GP and includes any dose changes required as a result of monitoring unless dosing is being undertaken by a provider other than the GP practice</w:t>
            </w:r>
            <w:r w:rsidR="00733A98">
              <w:rPr>
                <w:sz w:val="24"/>
              </w:rPr>
              <w:t xml:space="preserve"> (e.g. </w:t>
            </w:r>
            <w:r w:rsidR="00EF02B8">
              <w:rPr>
                <w:sz w:val="24"/>
              </w:rPr>
              <w:t xml:space="preserve">ongoing </w:t>
            </w:r>
            <w:r w:rsidR="00733A98">
              <w:rPr>
                <w:sz w:val="24"/>
              </w:rPr>
              <w:t>warfarin dosing</w:t>
            </w:r>
            <w:r w:rsidR="00EF02B8">
              <w:rPr>
                <w:sz w:val="24"/>
              </w:rPr>
              <w:t xml:space="preserve"> by Secondary Care Anticoagulation clinic</w:t>
            </w:r>
            <w:r w:rsidR="00733A98">
              <w:rPr>
                <w:sz w:val="24"/>
              </w:rPr>
              <w:t>)</w:t>
            </w:r>
            <w:r w:rsidR="007F7289" w:rsidRPr="007F7289">
              <w:rPr>
                <w:sz w:val="24"/>
              </w:rPr>
              <w:t>. In this case decisions on dosing will be the clinical responsibility of the</w:t>
            </w:r>
            <w:r w:rsidR="00E56AFA">
              <w:rPr>
                <w:sz w:val="24"/>
              </w:rPr>
              <w:t xml:space="preserve"> Secondary Care provider.</w:t>
            </w:r>
            <w:r w:rsidR="00733A98">
              <w:rPr>
                <w:sz w:val="24"/>
              </w:rPr>
              <w:t xml:space="preserve"> </w:t>
            </w:r>
            <w:r w:rsidR="007F7289" w:rsidRPr="007F7289">
              <w:rPr>
                <w:sz w:val="24"/>
              </w:rPr>
              <w:t xml:space="preserve">Practices should have standard operating procedures in place to cover all aspects of high risk drug prescribing and VKA anticoagulant prescribing. </w:t>
            </w:r>
          </w:p>
          <w:p w14:paraId="0334AAE0" w14:textId="23046F43" w:rsidR="00AA209B" w:rsidRDefault="00AA209B" w:rsidP="00623B1C">
            <w:pPr>
              <w:pStyle w:val="TableParagraph"/>
              <w:tabs>
                <w:tab w:val="left" w:pos="824"/>
              </w:tabs>
              <w:ind w:left="720" w:right="96"/>
              <w:jc w:val="both"/>
              <w:rPr>
                <w:sz w:val="24"/>
              </w:rPr>
            </w:pPr>
            <w:r w:rsidRPr="00AA209B">
              <w:rPr>
                <w:rFonts w:eastAsiaTheme="minorHAnsi"/>
                <w:sz w:val="24"/>
                <w:szCs w:val="20"/>
              </w:rPr>
              <w:t>Where practices are prescribing test strips for patient INR testing equipment, practices need to ensure they have received documentation from Secondary Care Anticoagulation Services as an assurance that the patient’s INR testing equipment is having regular quality control checks.</w:t>
            </w:r>
          </w:p>
          <w:p w14:paraId="4A70728B" w14:textId="570FE1A4" w:rsidR="00AA209B" w:rsidRDefault="003C24B9" w:rsidP="00AA209B">
            <w:pPr>
              <w:pStyle w:val="TableParagraph"/>
              <w:numPr>
                <w:ilvl w:val="2"/>
                <w:numId w:val="17"/>
              </w:numPr>
              <w:tabs>
                <w:tab w:val="left" w:pos="824"/>
              </w:tabs>
              <w:ind w:right="96"/>
              <w:jc w:val="both"/>
              <w:rPr>
                <w:sz w:val="24"/>
              </w:rPr>
            </w:pPr>
            <w:r w:rsidRPr="00AA209B">
              <w:rPr>
                <w:b/>
                <w:sz w:val="24"/>
                <w:szCs w:val="20"/>
              </w:rPr>
              <w:t xml:space="preserve">Monitoring </w:t>
            </w:r>
            <w:r w:rsidRPr="00AA209B">
              <w:rPr>
                <w:sz w:val="24"/>
                <w:szCs w:val="20"/>
              </w:rPr>
              <w:t>It is important for the prescriber to check the patient is</w:t>
            </w:r>
            <w:r w:rsidRPr="00AA209B">
              <w:rPr>
                <w:rFonts w:eastAsiaTheme="minorHAnsi"/>
                <w:sz w:val="24"/>
                <w:szCs w:val="20"/>
              </w:rPr>
              <w:t xml:space="preserve"> being monitor</w:t>
            </w:r>
            <w:r w:rsidR="00A549EC">
              <w:rPr>
                <w:rFonts w:eastAsiaTheme="minorHAnsi"/>
                <w:sz w:val="24"/>
                <w:szCs w:val="20"/>
              </w:rPr>
              <w:t xml:space="preserve">ed regularly in line with ESCA, </w:t>
            </w:r>
            <w:r w:rsidRPr="00AA209B">
              <w:rPr>
                <w:rFonts w:eastAsiaTheme="minorHAnsi"/>
                <w:sz w:val="24"/>
                <w:szCs w:val="20"/>
              </w:rPr>
              <w:t>prescribing information document</w:t>
            </w:r>
            <w:r w:rsidR="00A549EC">
              <w:rPr>
                <w:rFonts w:eastAsiaTheme="minorHAnsi"/>
                <w:sz w:val="24"/>
                <w:szCs w:val="20"/>
              </w:rPr>
              <w:t xml:space="preserve"> </w:t>
            </w:r>
            <w:r w:rsidR="00A549EC" w:rsidRPr="00DF0298">
              <w:rPr>
                <w:rFonts w:eastAsiaTheme="minorHAnsi"/>
                <w:sz w:val="24"/>
                <w:szCs w:val="20"/>
              </w:rPr>
              <w:t>or product recommendations where ESCA or PID are not required</w:t>
            </w:r>
            <w:r w:rsidRPr="00DF0298">
              <w:rPr>
                <w:rFonts w:eastAsiaTheme="minorHAnsi"/>
                <w:sz w:val="24"/>
                <w:szCs w:val="20"/>
              </w:rPr>
              <w:t xml:space="preserve">, </w:t>
            </w:r>
            <w:r w:rsidRPr="00AA209B">
              <w:rPr>
                <w:rFonts w:eastAsiaTheme="minorHAnsi"/>
                <w:sz w:val="24"/>
                <w:szCs w:val="20"/>
              </w:rPr>
              <w:t>and that it is safe for a repeat prescription to be issued (e.g. INR regularly being monitored for warfarin).</w:t>
            </w:r>
            <w:r w:rsidR="00EF02B8" w:rsidRPr="00AA209B">
              <w:rPr>
                <w:rFonts w:eastAsiaTheme="minorHAnsi"/>
                <w:sz w:val="24"/>
                <w:szCs w:val="20"/>
              </w:rPr>
              <w:t xml:space="preserve"> In some cases it may be appropriate and some </w:t>
            </w:r>
            <w:r w:rsidR="00EF02B8" w:rsidRPr="00AA209B">
              <w:rPr>
                <w:rFonts w:eastAsiaTheme="minorHAnsi"/>
                <w:sz w:val="24"/>
                <w:szCs w:val="24"/>
              </w:rPr>
              <w:t>p</w:t>
            </w:r>
            <w:r w:rsidR="00EF02B8" w:rsidRPr="00AA209B">
              <w:rPr>
                <w:sz w:val="24"/>
                <w:szCs w:val="24"/>
              </w:rPr>
              <w:t>atients may choose to self-monitor (e.g. INR monitoring, blood pressure monitoring etc) this will involve the patient performing their own test at home using a point of care device.</w:t>
            </w:r>
            <w:r w:rsidR="00AA209B" w:rsidRPr="00AA209B">
              <w:rPr>
                <w:sz w:val="24"/>
              </w:rPr>
              <w:t xml:space="preserve"> The practice </w:t>
            </w:r>
            <w:r w:rsidR="00AA209B" w:rsidRPr="00AA209B">
              <w:rPr>
                <w:sz w:val="24"/>
              </w:rPr>
              <w:lastRenderedPageBreak/>
              <w:t xml:space="preserve">or Secondary Care provider can decide which patients may be suitable for self-monitoring of their INR. Where it is deemed appropriate for patients to self-monitor this should be done in line with the Secondary Care Anticoagulation clinic agreement and patients should receive the relevant and necessary training. </w:t>
            </w:r>
          </w:p>
          <w:p w14:paraId="55C69ACF" w14:textId="77777777" w:rsidR="00B062C4" w:rsidRPr="00AA209B" w:rsidRDefault="00B062C4" w:rsidP="00B062C4">
            <w:pPr>
              <w:pStyle w:val="TableParagraph"/>
              <w:tabs>
                <w:tab w:val="left" w:pos="824"/>
              </w:tabs>
              <w:ind w:left="720" w:right="96"/>
              <w:jc w:val="both"/>
              <w:rPr>
                <w:sz w:val="24"/>
              </w:rPr>
            </w:pPr>
          </w:p>
          <w:p w14:paraId="58586D84" w14:textId="07295753" w:rsidR="00050BF1" w:rsidRDefault="00E411C1" w:rsidP="00B7503D">
            <w:pPr>
              <w:pStyle w:val="TableParagraph"/>
              <w:numPr>
                <w:ilvl w:val="2"/>
                <w:numId w:val="30"/>
              </w:numPr>
              <w:tabs>
                <w:tab w:val="left" w:pos="824"/>
              </w:tabs>
              <w:ind w:right="96"/>
              <w:jc w:val="both"/>
              <w:rPr>
                <w:sz w:val="24"/>
              </w:rPr>
            </w:pPr>
            <w:r w:rsidRPr="003C24B9">
              <w:rPr>
                <w:b/>
                <w:sz w:val="24"/>
              </w:rPr>
              <w:t>Individual annual review</w:t>
            </w:r>
            <w:r w:rsidRPr="003C24B9">
              <w:rPr>
                <w:sz w:val="24"/>
              </w:rPr>
              <w:t xml:space="preserve"> Service providers will be required to conduct a formal review of the patient’s health in relation to their medicine(s) at least annually, including review of continued need for treatment where this aspect of treatment is being managed by primary care. </w:t>
            </w:r>
            <w:r w:rsidR="00050BF1" w:rsidRPr="00050BF1">
              <w:rPr>
                <w:sz w:val="24"/>
                <w:szCs w:val="24"/>
              </w:rPr>
              <w:t>This review should be conducted and clearly documented in the patient’s clinical record</w:t>
            </w:r>
            <w:r w:rsidR="00050BF1">
              <w:rPr>
                <w:sz w:val="24"/>
                <w:szCs w:val="24"/>
              </w:rPr>
              <w:t>.</w:t>
            </w:r>
          </w:p>
          <w:p w14:paraId="70AA10CC" w14:textId="6F1FEDD8" w:rsidR="00E411C1" w:rsidRDefault="00E411C1" w:rsidP="00050BF1">
            <w:pPr>
              <w:pStyle w:val="TableParagraph"/>
              <w:tabs>
                <w:tab w:val="left" w:pos="824"/>
              </w:tabs>
              <w:ind w:left="720" w:right="96"/>
              <w:jc w:val="both"/>
              <w:rPr>
                <w:b/>
                <w:sz w:val="24"/>
              </w:rPr>
            </w:pPr>
            <w:r w:rsidRPr="003C24B9">
              <w:rPr>
                <w:sz w:val="24"/>
              </w:rPr>
              <w:t xml:space="preserve">Where patients are managed under a shared care arrangement, </w:t>
            </w:r>
            <w:r w:rsidR="0007096D">
              <w:rPr>
                <w:sz w:val="24"/>
              </w:rPr>
              <w:t xml:space="preserve">Primary Care </w:t>
            </w:r>
            <w:r w:rsidRPr="003C24B9">
              <w:rPr>
                <w:sz w:val="24"/>
              </w:rPr>
              <w:t xml:space="preserve">service providers should confirm the patient has attended secondary care for review as appropriate; and </w:t>
            </w:r>
            <w:r w:rsidR="008F4250" w:rsidRPr="003C24B9">
              <w:rPr>
                <w:sz w:val="24"/>
              </w:rPr>
              <w:t>tak</w:t>
            </w:r>
            <w:r w:rsidR="008F4250">
              <w:rPr>
                <w:sz w:val="24"/>
              </w:rPr>
              <w:t>e</w:t>
            </w:r>
            <w:r w:rsidR="008F4250" w:rsidRPr="003C24B9">
              <w:rPr>
                <w:sz w:val="24"/>
              </w:rPr>
              <w:t xml:space="preserve"> </w:t>
            </w:r>
            <w:r w:rsidRPr="003C24B9">
              <w:rPr>
                <w:sz w:val="24"/>
              </w:rPr>
              <w:t xml:space="preserve">any necessary action if the patient did not attend to ensure on going safe prescribing. </w:t>
            </w:r>
          </w:p>
          <w:p w14:paraId="2A80C9EB" w14:textId="68F5AAD9" w:rsidR="00787BA8" w:rsidRDefault="00787BA8" w:rsidP="007F7289">
            <w:pPr>
              <w:pStyle w:val="TableParagraph"/>
              <w:numPr>
                <w:ilvl w:val="2"/>
                <w:numId w:val="30"/>
              </w:numPr>
              <w:tabs>
                <w:tab w:val="left" w:pos="824"/>
              </w:tabs>
              <w:ind w:right="98"/>
              <w:jc w:val="both"/>
              <w:rPr>
                <w:sz w:val="24"/>
              </w:rPr>
            </w:pPr>
            <w:r>
              <w:rPr>
                <w:b/>
                <w:sz w:val="24"/>
              </w:rPr>
              <w:t xml:space="preserve">Record- keeping. </w:t>
            </w:r>
            <w:r w:rsidR="00B3269A">
              <w:rPr>
                <w:sz w:val="24"/>
              </w:rPr>
              <w:t>Providers</w:t>
            </w:r>
            <w:r>
              <w:rPr>
                <w:sz w:val="24"/>
              </w:rPr>
              <w:t xml:space="preserve"> should maintain adequate records of the performance and result</w:t>
            </w:r>
            <w:r w:rsidR="008F4250">
              <w:rPr>
                <w:sz w:val="24"/>
              </w:rPr>
              <w:t>s</w:t>
            </w:r>
            <w:r>
              <w:rPr>
                <w:sz w:val="24"/>
              </w:rPr>
              <w:t xml:space="preserve"> of the service provided, incorporating all known information relating to any significant events e.g. hospital admissions, death of which the practice has been notified.</w:t>
            </w:r>
          </w:p>
          <w:p w14:paraId="2606FD50" w14:textId="36F45C79" w:rsidR="00AF6DA3" w:rsidRDefault="002D13C8" w:rsidP="007F7289">
            <w:pPr>
              <w:pStyle w:val="TableParagraph"/>
              <w:numPr>
                <w:ilvl w:val="2"/>
                <w:numId w:val="30"/>
              </w:numPr>
              <w:tabs>
                <w:tab w:val="left" w:pos="824"/>
              </w:tabs>
              <w:ind w:right="98"/>
              <w:jc w:val="both"/>
              <w:rPr>
                <w:sz w:val="24"/>
              </w:rPr>
            </w:pPr>
            <w:r w:rsidRPr="00AF6DA3">
              <w:rPr>
                <w:b/>
                <w:sz w:val="24"/>
              </w:rPr>
              <w:t xml:space="preserve">Incidents/Serous Incidents </w:t>
            </w:r>
            <w:r w:rsidRPr="00AF6DA3">
              <w:rPr>
                <w:sz w:val="24"/>
              </w:rPr>
              <w:t xml:space="preserve">The </w:t>
            </w:r>
            <w:r w:rsidR="0007096D">
              <w:rPr>
                <w:sz w:val="24"/>
              </w:rPr>
              <w:t xml:space="preserve">Primary Care </w:t>
            </w:r>
            <w:r w:rsidRPr="00AF6DA3">
              <w:rPr>
                <w:sz w:val="24"/>
              </w:rPr>
              <w:t>provider is required to have a robust incident management</w:t>
            </w:r>
            <w:r w:rsidRPr="00AF6DA3">
              <w:rPr>
                <w:b/>
                <w:sz w:val="24"/>
              </w:rPr>
              <w:t xml:space="preserve"> </w:t>
            </w:r>
            <w:r w:rsidRPr="00AF6DA3">
              <w:rPr>
                <w:sz w:val="24"/>
              </w:rPr>
              <w:t xml:space="preserve">policy in place covering the recognition and management of all </w:t>
            </w:r>
            <w:r w:rsidR="0034650A" w:rsidRPr="00AF6DA3">
              <w:rPr>
                <w:sz w:val="24"/>
              </w:rPr>
              <w:t>incidents. This</w:t>
            </w:r>
            <w:r w:rsidRPr="00AF6DA3">
              <w:rPr>
                <w:sz w:val="24"/>
              </w:rPr>
              <w:t xml:space="preserve"> must inc</w:t>
            </w:r>
            <w:r w:rsidR="00AF6DA3" w:rsidRPr="00AF6DA3">
              <w:rPr>
                <w:sz w:val="24"/>
              </w:rPr>
              <w:t>lude data collection mechanisms</w:t>
            </w:r>
            <w:r w:rsidRPr="00AF6DA3">
              <w:rPr>
                <w:sz w:val="24"/>
              </w:rPr>
              <w:t>,</w:t>
            </w:r>
            <w:r w:rsidR="00AF6DA3" w:rsidRPr="00AF6DA3">
              <w:rPr>
                <w:sz w:val="24"/>
              </w:rPr>
              <w:t xml:space="preserve"> </w:t>
            </w:r>
            <w:r w:rsidRPr="00AF6DA3">
              <w:rPr>
                <w:sz w:val="24"/>
              </w:rPr>
              <w:t>formal risk assessment,</w:t>
            </w:r>
            <w:r w:rsidR="00AF6DA3" w:rsidRPr="00AF6DA3">
              <w:rPr>
                <w:sz w:val="24"/>
              </w:rPr>
              <w:t xml:space="preserve"> </w:t>
            </w:r>
            <w:r w:rsidRPr="00AF6DA3">
              <w:rPr>
                <w:sz w:val="24"/>
              </w:rPr>
              <w:t>action planning and shared learning.</w:t>
            </w:r>
            <w:r w:rsidR="00AF6DA3">
              <w:rPr>
                <w:sz w:val="24"/>
              </w:rPr>
              <w:t xml:space="preserve"> </w:t>
            </w:r>
          </w:p>
          <w:p w14:paraId="541753F1" w14:textId="6F7EF616" w:rsidR="002D13C8" w:rsidRPr="00AF6DA3" w:rsidRDefault="002D13C8" w:rsidP="00AF6DA3">
            <w:pPr>
              <w:pStyle w:val="TableParagraph"/>
              <w:tabs>
                <w:tab w:val="left" w:pos="824"/>
              </w:tabs>
              <w:ind w:left="720" w:right="98"/>
              <w:jc w:val="both"/>
              <w:rPr>
                <w:sz w:val="24"/>
              </w:rPr>
            </w:pPr>
            <w:r w:rsidRPr="00AF6DA3">
              <w:rPr>
                <w:sz w:val="24"/>
              </w:rPr>
              <w:t xml:space="preserve">It is a requirement that any </w:t>
            </w:r>
            <w:r w:rsidR="00EC1D8E" w:rsidRPr="00AF6DA3">
              <w:rPr>
                <w:sz w:val="24"/>
              </w:rPr>
              <w:t>incident that</w:t>
            </w:r>
            <w:r w:rsidRPr="00AF6DA3">
              <w:rPr>
                <w:sz w:val="24"/>
              </w:rPr>
              <w:t xml:space="preserve"> results in significant harm to a patient including medication, equipment or serious communication </w:t>
            </w:r>
            <w:r w:rsidR="00EC1D8E" w:rsidRPr="00AF6DA3">
              <w:rPr>
                <w:sz w:val="24"/>
              </w:rPr>
              <w:t>failure within</w:t>
            </w:r>
            <w:r w:rsidRPr="00AF6DA3">
              <w:rPr>
                <w:sz w:val="24"/>
              </w:rPr>
              <w:t xml:space="preserve"> this service is notified to the CCG Quality Team as per the providers </w:t>
            </w:r>
            <w:r w:rsidR="00EC1D8E" w:rsidRPr="00AF6DA3">
              <w:rPr>
                <w:sz w:val="24"/>
              </w:rPr>
              <w:t>int</w:t>
            </w:r>
            <w:r w:rsidR="00EC1D8E">
              <w:rPr>
                <w:sz w:val="24"/>
              </w:rPr>
              <w:t>ernal serious</w:t>
            </w:r>
            <w:r w:rsidR="00AF6DA3">
              <w:rPr>
                <w:sz w:val="24"/>
              </w:rPr>
              <w:t xml:space="preserve"> incident policy.</w:t>
            </w:r>
          </w:p>
          <w:p w14:paraId="1DFC37A5" w14:textId="34D5A137" w:rsidR="002D13C8" w:rsidRPr="00AF6DA3" w:rsidRDefault="002D13C8" w:rsidP="00AF6DA3">
            <w:pPr>
              <w:pStyle w:val="TableParagraph"/>
              <w:tabs>
                <w:tab w:val="left" w:pos="824"/>
              </w:tabs>
              <w:ind w:left="720" w:right="98"/>
              <w:jc w:val="both"/>
              <w:rPr>
                <w:sz w:val="24"/>
              </w:rPr>
            </w:pPr>
            <w:r w:rsidRPr="00AF6DA3">
              <w:rPr>
                <w:sz w:val="24"/>
              </w:rPr>
              <w:t>All serious incidents  must be reported and submitted within timescales</w:t>
            </w:r>
            <w:r w:rsidR="00EC1D8E">
              <w:rPr>
                <w:sz w:val="24"/>
              </w:rPr>
              <w:t xml:space="preserve"> </w:t>
            </w:r>
            <w:r w:rsidRPr="00AF6DA3">
              <w:rPr>
                <w:sz w:val="24"/>
              </w:rPr>
              <w:t xml:space="preserve">(within 2 working days) laid out within the National SI Framework </w:t>
            </w:r>
            <w:r w:rsidR="00EC1D8E">
              <w:rPr>
                <w:sz w:val="24"/>
              </w:rPr>
              <w:t>to the CCGs Quality Team</w:t>
            </w:r>
            <w:r w:rsidRPr="00AF6DA3">
              <w:rPr>
                <w:sz w:val="24"/>
              </w:rPr>
              <w:t>,</w:t>
            </w:r>
            <w:r w:rsidR="00EC1D8E">
              <w:rPr>
                <w:sz w:val="24"/>
              </w:rPr>
              <w:t xml:space="preserve"> </w:t>
            </w:r>
            <w:r w:rsidRPr="00AF6DA3">
              <w:rPr>
                <w:sz w:val="24"/>
              </w:rPr>
              <w:t>so that these incidents can be reported on the providers behalf by the CCG onto the National reporting system.</w:t>
            </w:r>
          </w:p>
          <w:p w14:paraId="203BBF29" w14:textId="77777777" w:rsidR="00795091" w:rsidRDefault="002D13C8" w:rsidP="00795091">
            <w:pPr>
              <w:pStyle w:val="TableParagraph"/>
              <w:tabs>
                <w:tab w:val="left" w:pos="824"/>
              </w:tabs>
              <w:ind w:left="720" w:right="96"/>
              <w:jc w:val="both"/>
              <w:rPr>
                <w:sz w:val="24"/>
              </w:rPr>
            </w:pPr>
            <w:r w:rsidRPr="00AF6DA3">
              <w:rPr>
                <w:sz w:val="24"/>
              </w:rPr>
              <w:t>A Root Cause Analysis (RCA)</w:t>
            </w:r>
            <w:r w:rsidR="00EC1D8E">
              <w:rPr>
                <w:sz w:val="24"/>
              </w:rPr>
              <w:t xml:space="preserve"> </w:t>
            </w:r>
            <w:r w:rsidR="00457457" w:rsidRPr="00AF6DA3">
              <w:rPr>
                <w:sz w:val="24"/>
              </w:rPr>
              <w:t>investigation of</w:t>
            </w:r>
            <w:r w:rsidRPr="00AF6DA3">
              <w:rPr>
                <w:sz w:val="24"/>
              </w:rPr>
              <w:t xml:space="preserve"> the </w:t>
            </w:r>
            <w:r w:rsidR="0034650A" w:rsidRPr="00AF6DA3">
              <w:rPr>
                <w:sz w:val="24"/>
              </w:rPr>
              <w:t>serious incident should</w:t>
            </w:r>
            <w:r w:rsidRPr="00AF6DA3">
              <w:rPr>
                <w:sz w:val="24"/>
              </w:rPr>
              <w:t xml:space="preserve"> be completed and investigation report should be shared with the CCG Quality Team within the </w:t>
            </w:r>
            <w:r w:rsidR="0034650A" w:rsidRPr="00AF6DA3">
              <w:rPr>
                <w:sz w:val="24"/>
              </w:rPr>
              <w:t xml:space="preserve">agreed </w:t>
            </w:r>
            <w:r w:rsidR="0034650A">
              <w:rPr>
                <w:sz w:val="24"/>
              </w:rPr>
              <w:t>n</w:t>
            </w:r>
            <w:r w:rsidR="0034650A" w:rsidRPr="00AF6DA3">
              <w:rPr>
                <w:sz w:val="24"/>
              </w:rPr>
              <w:t>ational</w:t>
            </w:r>
            <w:r w:rsidRPr="00AF6DA3">
              <w:rPr>
                <w:sz w:val="24"/>
              </w:rPr>
              <w:t xml:space="preserve"> </w:t>
            </w:r>
            <w:r w:rsidR="0034650A" w:rsidRPr="00AF6DA3">
              <w:rPr>
                <w:sz w:val="24"/>
              </w:rPr>
              <w:t>timeframes.</w:t>
            </w:r>
            <w:r w:rsidR="00795091">
              <w:rPr>
                <w:sz w:val="24"/>
              </w:rPr>
              <w:t xml:space="preserve"> </w:t>
            </w:r>
          </w:p>
          <w:p w14:paraId="6694E3F9" w14:textId="5C8F4978" w:rsidR="00795091" w:rsidRDefault="00795091" w:rsidP="00AF6DA3">
            <w:pPr>
              <w:pStyle w:val="TableParagraph"/>
              <w:tabs>
                <w:tab w:val="left" w:pos="824"/>
              </w:tabs>
              <w:ind w:left="720" w:right="96"/>
              <w:jc w:val="both"/>
              <w:rPr>
                <w:sz w:val="24"/>
              </w:rPr>
            </w:pPr>
            <w:r w:rsidRPr="00795091">
              <w:rPr>
                <w:sz w:val="24"/>
                <w:szCs w:val="23"/>
              </w:rPr>
              <w:t>The provider shall also inform the CCG Medicines Management Team of any drug related incidents (e.g. interacting medicine causing adverse changes to blood results, delayed or missed monitoring of blood results, treatment c</w:t>
            </w:r>
            <w:r>
              <w:rPr>
                <w:sz w:val="24"/>
                <w:szCs w:val="23"/>
              </w:rPr>
              <w:t>ontinued inappropriately etc.)</w:t>
            </w:r>
          </w:p>
          <w:p w14:paraId="1AF9EC0E" w14:textId="60CC7CFB" w:rsidR="00783064" w:rsidRPr="00783064" w:rsidRDefault="008139D2" w:rsidP="007F7289">
            <w:pPr>
              <w:pStyle w:val="TableParagraph"/>
              <w:numPr>
                <w:ilvl w:val="2"/>
                <w:numId w:val="30"/>
              </w:numPr>
              <w:tabs>
                <w:tab w:val="left" w:pos="824"/>
              </w:tabs>
              <w:ind w:right="96"/>
              <w:jc w:val="both"/>
              <w:rPr>
                <w:sz w:val="24"/>
              </w:rPr>
            </w:pPr>
            <w:r>
              <w:rPr>
                <w:b/>
                <w:sz w:val="24"/>
              </w:rPr>
              <w:t>Point of care testing and quality control</w:t>
            </w:r>
            <w:r>
              <w:rPr>
                <w:sz w:val="24"/>
              </w:rPr>
              <w:t xml:space="preserve"> </w:t>
            </w:r>
            <w:r w:rsidR="00783064" w:rsidRPr="00783064">
              <w:rPr>
                <w:sz w:val="24"/>
              </w:rPr>
              <w:t>If Point of Care Testing</w:t>
            </w:r>
            <w:r w:rsidR="00783064">
              <w:rPr>
                <w:sz w:val="24"/>
              </w:rPr>
              <w:t xml:space="preserve"> (POCT)</w:t>
            </w:r>
            <w:r w:rsidR="00783064" w:rsidRPr="00783064">
              <w:rPr>
                <w:sz w:val="24"/>
              </w:rPr>
              <w:t xml:space="preserve"> is used, service providers will pay for all POCT equipment and supplies including the test st</w:t>
            </w:r>
            <w:r w:rsidR="007F7289">
              <w:rPr>
                <w:sz w:val="24"/>
              </w:rPr>
              <w:t>rips, finger prick equipment, external quality assurance and</w:t>
            </w:r>
            <w:r w:rsidR="00783064" w:rsidRPr="00783064">
              <w:rPr>
                <w:sz w:val="24"/>
              </w:rPr>
              <w:t xml:space="preserve"> internal quality control requirements</w:t>
            </w:r>
            <w:r w:rsidR="00E411C1">
              <w:rPr>
                <w:sz w:val="24"/>
              </w:rPr>
              <w:t xml:space="preserve"> unless agreed otherwise by the relevant CCG</w:t>
            </w:r>
            <w:r w:rsidR="007F7289">
              <w:rPr>
                <w:sz w:val="24"/>
              </w:rPr>
              <w:t xml:space="preserve">. </w:t>
            </w:r>
            <w:r w:rsidR="00783064" w:rsidRPr="00783064">
              <w:rPr>
                <w:sz w:val="24"/>
              </w:rPr>
              <w:t>The   POCT equipment must be maintained and calibrated as per the manufacturer’s guidance and recorded. It is good practice to be able to track the time of testing and lot number of test strip used for each patient should the need arise. Cleaning procedures recommended by the manufacturer should be adhered to and health and safety standards should be followed at all times.</w:t>
            </w:r>
          </w:p>
          <w:p w14:paraId="680A04EE" w14:textId="195ECF79" w:rsidR="00783064" w:rsidRPr="00783064" w:rsidRDefault="00C16657" w:rsidP="00C16657">
            <w:pPr>
              <w:pStyle w:val="TableParagraph"/>
              <w:tabs>
                <w:tab w:val="left" w:pos="824"/>
              </w:tabs>
              <w:ind w:left="737" w:right="96" w:hanging="737"/>
              <w:jc w:val="both"/>
              <w:rPr>
                <w:sz w:val="24"/>
              </w:rPr>
            </w:pPr>
            <w:r>
              <w:rPr>
                <w:sz w:val="24"/>
              </w:rPr>
              <w:tab/>
            </w:r>
            <w:r w:rsidR="00783064" w:rsidRPr="00783064">
              <w:rPr>
                <w:sz w:val="24"/>
              </w:rPr>
              <w:t>The disposal of sharps should be in accordance with national guidance and the provider’s waste disposal and infection control policy.</w:t>
            </w:r>
          </w:p>
          <w:p w14:paraId="21F84E89" w14:textId="28BE4045" w:rsidR="00E953EA" w:rsidRDefault="00C16657" w:rsidP="00C34DA9">
            <w:pPr>
              <w:pStyle w:val="TableParagraph"/>
              <w:tabs>
                <w:tab w:val="left" w:pos="824"/>
              </w:tabs>
              <w:ind w:left="737" w:right="96" w:hanging="737"/>
              <w:jc w:val="both"/>
              <w:rPr>
                <w:sz w:val="24"/>
              </w:rPr>
            </w:pPr>
            <w:r>
              <w:rPr>
                <w:sz w:val="24"/>
              </w:rPr>
              <w:tab/>
            </w:r>
            <w:r w:rsidR="00783064" w:rsidRPr="00783064">
              <w:rPr>
                <w:sz w:val="24"/>
              </w:rPr>
              <w:t xml:space="preserve">Service providers will be expected to have </w:t>
            </w:r>
            <w:r w:rsidR="00E411C1">
              <w:rPr>
                <w:sz w:val="24"/>
              </w:rPr>
              <w:t xml:space="preserve">the required external quality assurance (EQA) and </w:t>
            </w:r>
            <w:r w:rsidR="00783064" w:rsidRPr="00783064">
              <w:rPr>
                <w:sz w:val="24"/>
              </w:rPr>
              <w:t>internal quality control (IQC) system</w:t>
            </w:r>
            <w:r w:rsidR="00E411C1">
              <w:rPr>
                <w:sz w:val="24"/>
              </w:rPr>
              <w:t xml:space="preserve">s in place. </w:t>
            </w:r>
          </w:p>
          <w:p w14:paraId="166C09FC" w14:textId="48FBB242" w:rsidR="00C34DA9" w:rsidRPr="00C34DA9" w:rsidRDefault="00890B4D" w:rsidP="00C34DA9">
            <w:pPr>
              <w:pStyle w:val="ListParagraph"/>
              <w:numPr>
                <w:ilvl w:val="2"/>
                <w:numId w:val="30"/>
              </w:numPr>
              <w:jc w:val="both"/>
              <w:rPr>
                <w:b/>
                <w:sz w:val="24"/>
              </w:rPr>
            </w:pPr>
            <w:r w:rsidRPr="00C34DA9">
              <w:rPr>
                <w:b/>
                <w:sz w:val="24"/>
              </w:rPr>
              <w:lastRenderedPageBreak/>
              <w:t>Risk management</w:t>
            </w:r>
            <w:r w:rsidR="006D288A" w:rsidRPr="00C34DA9">
              <w:rPr>
                <w:b/>
                <w:sz w:val="24"/>
              </w:rPr>
              <w:t xml:space="preserve"> </w:t>
            </w:r>
            <w:r w:rsidR="00C34DA9" w:rsidRPr="00C34DA9">
              <w:rPr>
                <w:sz w:val="24"/>
              </w:rPr>
              <w:t>Practices should have a risk management strategy in place to deal with patients that are experiencing adverse effects relating to their medicines (e.g. timely access to vitamin K for patients with bleeding or raised INRs).</w:t>
            </w:r>
          </w:p>
          <w:p w14:paraId="197AC88A" w14:textId="77777777" w:rsidR="00C34DA9" w:rsidRDefault="00C34DA9" w:rsidP="00C34DA9">
            <w:pPr>
              <w:pStyle w:val="ListParagraph"/>
              <w:ind w:left="720"/>
              <w:jc w:val="both"/>
              <w:rPr>
                <w:sz w:val="24"/>
              </w:rPr>
            </w:pPr>
          </w:p>
          <w:p w14:paraId="70CC43F7" w14:textId="77777777" w:rsidR="005D4067" w:rsidRDefault="005D4067" w:rsidP="00C34DA9">
            <w:pPr>
              <w:pStyle w:val="ListParagraph"/>
              <w:ind w:left="720"/>
              <w:jc w:val="both"/>
              <w:rPr>
                <w:sz w:val="24"/>
              </w:rPr>
            </w:pPr>
          </w:p>
          <w:p w14:paraId="6758504A" w14:textId="77777777" w:rsidR="005D4067" w:rsidRDefault="005D4067" w:rsidP="00C34DA9">
            <w:pPr>
              <w:pStyle w:val="ListParagraph"/>
              <w:ind w:left="720"/>
              <w:jc w:val="both"/>
              <w:rPr>
                <w:sz w:val="24"/>
              </w:rPr>
            </w:pPr>
          </w:p>
          <w:p w14:paraId="420D26EF" w14:textId="77777777" w:rsidR="005D4067" w:rsidRDefault="005D4067" w:rsidP="00C34DA9">
            <w:pPr>
              <w:pStyle w:val="ListParagraph"/>
              <w:ind w:left="720"/>
              <w:jc w:val="both"/>
              <w:rPr>
                <w:sz w:val="24"/>
              </w:rPr>
            </w:pPr>
          </w:p>
          <w:p w14:paraId="1A3666CF" w14:textId="026DD5FF" w:rsidR="00561409" w:rsidRDefault="00561409" w:rsidP="007F7289">
            <w:pPr>
              <w:pStyle w:val="TableParagraph"/>
              <w:numPr>
                <w:ilvl w:val="1"/>
                <w:numId w:val="30"/>
              </w:numPr>
              <w:tabs>
                <w:tab w:val="left" w:pos="824"/>
              </w:tabs>
              <w:ind w:right="98"/>
              <w:jc w:val="both"/>
              <w:rPr>
                <w:b/>
                <w:sz w:val="24"/>
              </w:rPr>
            </w:pPr>
            <w:r w:rsidRPr="00561409">
              <w:rPr>
                <w:b/>
                <w:sz w:val="24"/>
              </w:rPr>
              <w:t>Population covered</w:t>
            </w:r>
          </w:p>
          <w:p w14:paraId="5A2617D9" w14:textId="77777777" w:rsidR="00561409" w:rsidRPr="00561409" w:rsidRDefault="00561409" w:rsidP="00561409">
            <w:pPr>
              <w:pStyle w:val="TableParagraph"/>
              <w:tabs>
                <w:tab w:val="left" w:pos="824"/>
              </w:tabs>
              <w:ind w:left="525" w:right="98"/>
              <w:jc w:val="both"/>
              <w:rPr>
                <w:sz w:val="24"/>
              </w:rPr>
            </w:pPr>
          </w:p>
          <w:p w14:paraId="0FAE5EC4" w14:textId="5C09BAAF" w:rsidR="00457457" w:rsidRDefault="00561409" w:rsidP="00457457">
            <w:pPr>
              <w:pStyle w:val="TableParagraph"/>
              <w:tabs>
                <w:tab w:val="left" w:pos="824"/>
              </w:tabs>
              <w:ind w:left="113" w:right="96"/>
              <w:jc w:val="both"/>
              <w:rPr>
                <w:sz w:val="24"/>
              </w:rPr>
            </w:pPr>
            <w:r w:rsidRPr="00561409">
              <w:rPr>
                <w:sz w:val="24"/>
              </w:rPr>
              <w:t xml:space="preserve">This service applies to all patients registered with a </w:t>
            </w:r>
            <w:r w:rsidR="00C6543B">
              <w:rPr>
                <w:sz w:val="24"/>
              </w:rPr>
              <w:t xml:space="preserve">Shropshire or </w:t>
            </w:r>
            <w:r w:rsidR="008F4250">
              <w:rPr>
                <w:sz w:val="24"/>
              </w:rPr>
              <w:t xml:space="preserve">Telford </w:t>
            </w:r>
            <w:r w:rsidR="008F4250" w:rsidRPr="00561409">
              <w:rPr>
                <w:sz w:val="24"/>
              </w:rPr>
              <w:t>GP</w:t>
            </w:r>
            <w:r w:rsidRPr="00561409">
              <w:rPr>
                <w:sz w:val="24"/>
              </w:rPr>
              <w:t xml:space="preserve"> practice taking any of the medicines covered by this service specification unless agreed with the secondary care provider that the patient should be managed entirely by them including prescribing responsibility. </w:t>
            </w:r>
          </w:p>
          <w:p w14:paraId="6F1F59F5" w14:textId="77777777" w:rsidR="00525BCC" w:rsidRDefault="00525BCC" w:rsidP="00457457">
            <w:pPr>
              <w:pStyle w:val="TableParagraph"/>
              <w:tabs>
                <w:tab w:val="left" w:pos="824"/>
              </w:tabs>
              <w:ind w:left="113" w:right="96"/>
              <w:jc w:val="both"/>
              <w:rPr>
                <w:sz w:val="24"/>
              </w:rPr>
            </w:pPr>
          </w:p>
          <w:p w14:paraId="4EA4B4CC" w14:textId="77777777" w:rsidR="00561409" w:rsidRPr="00561409" w:rsidRDefault="00561409" w:rsidP="00561409">
            <w:pPr>
              <w:pStyle w:val="TableParagraph"/>
              <w:tabs>
                <w:tab w:val="left" w:pos="824"/>
              </w:tabs>
              <w:ind w:right="98"/>
              <w:jc w:val="both"/>
              <w:rPr>
                <w:b/>
                <w:sz w:val="24"/>
              </w:rPr>
            </w:pPr>
            <w:r w:rsidRPr="00561409">
              <w:rPr>
                <w:b/>
                <w:sz w:val="24"/>
              </w:rPr>
              <w:t>3.5    Any acceptance and exclusion criteria and thresholds</w:t>
            </w:r>
          </w:p>
          <w:p w14:paraId="1FB8CAB5" w14:textId="7942FC9C" w:rsidR="00561409" w:rsidRPr="00561409" w:rsidRDefault="00525BCC" w:rsidP="00561409">
            <w:pPr>
              <w:pStyle w:val="TableParagraph"/>
              <w:tabs>
                <w:tab w:val="left" w:pos="824"/>
              </w:tabs>
              <w:ind w:right="98"/>
              <w:jc w:val="both"/>
              <w:rPr>
                <w:sz w:val="24"/>
              </w:rPr>
            </w:pPr>
            <w:r>
              <w:rPr>
                <w:sz w:val="24"/>
              </w:rPr>
              <w:t>None</w:t>
            </w:r>
          </w:p>
          <w:p w14:paraId="0F453801" w14:textId="260A9EAE" w:rsidR="00561409" w:rsidRDefault="00561409" w:rsidP="00E379B6">
            <w:pPr>
              <w:pStyle w:val="TableParagraph"/>
              <w:tabs>
                <w:tab w:val="left" w:pos="824"/>
              </w:tabs>
              <w:ind w:left="113" w:right="96"/>
              <w:jc w:val="both"/>
              <w:rPr>
                <w:sz w:val="24"/>
              </w:rPr>
            </w:pPr>
          </w:p>
          <w:p w14:paraId="1872F94A" w14:textId="77777777" w:rsidR="006F2617" w:rsidRPr="00561409" w:rsidRDefault="006F2617" w:rsidP="00E379B6">
            <w:pPr>
              <w:pStyle w:val="TableParagraph"/>
              <w:tabs>
                <w:tab w:val="left" w:pos="824"/>
              </w:tabs>
              <w:ind w:left="113" w:right="96"/>
              <w:jc w:val="both"/>
              <w:rPr>
                <w:sz w:val="24"/>
              </w:rPr>
            </w:pPr>
          </w:p>
          <w:p w14:paraId="6D824551" w14:textId="77777777" w:rsidR="00561409" w:rsidRPr="00561409" w:rsidRDefault="00561409" w:rsidP="00561409">
            <w:pPr>
              <w:pStyle w:val="TableParagraph"/>
              <w:tabs>
                <w:tab w:val="left" w:pos="824"/>
              </w:tabs>
              <w:ind w:right="98"/>
              <w:jc w:val="both"/>
              <w:rPr>
                <w:sz w:val="24"/>
              </w:rPr>
            </w:pPr>
          </w:p>
          <w:p w14:paraId="792C2E5D" w14:textId="54ECE1CD" w:rsidR="00196432" w:rsidRDefault="007463DD" w:rsidP="007463DD">
            <w:pPr>
              <w:pStyle w:val="TableParagraph"/>
              <w:numPr>
                <w:ilvl w:val="1"/>
                <w:numId w:val="22"/>
              </w:numPr>
              <w:tabs>
                <w:tab w:val="left" w:pos="824"/>
              </w:tabs>
              <w:ind w:right="98"/>
              <w:jc w:val="both"/>
              <w:rPr>
                <w:b/>
                <w:sz w:val="24"/>
              </w:rPr>
            </w:pPr>
            <w:r>
              <w:rPr>
                <w:b/>
                <w:sz w:val="24"/>
              </w:rPr>
              <w:tab/>
            </w:r>
            <w:r w:rsidR="00B210F1">
              <w:rPr>
                <w:b/>
                <w:sz w:val="24"/>
              </w:rPr>
              <w:t>I</w:t>
            </w:r>
            <w:r w:rsidR="00561409" w:rsidRPr="00B210F1">
              <w:rPr>
                <w:b/>
                <w:sz w:val="24"/>
              </w:rPr>
              <w:t>nterdependence with other services/providers</w:t>
            </w:r>
          </w:p>
          <w:p w14:paraId="1E9F6365" w14:textId="63B4DF13" w:rsidR="007463DD" w:rsidRDefault="007463DD" w:rsidP="007463DD">
            <w:pPr>
              <w:pStyle w:val="TableParagraph"/>
              <w:tabs>
                <w:tab w:val="left" w:pos="824"/>
              </w:tabs>
              <w:ind w:right="98"/>
              <w:jc w:val="both"/>
              <w:rPr>
                <w:sz w:val="24"/>
              </w:rPr>
            </w:pPr>
          </w:p>
          <w:p w14:paraId="2CDEBD63" w14:textId="4F1F3BB4" w:rsidR="007463DD" w:rsidRPr="007463DD" w:rsidRDefault="009255C3" w:rsidP="00E379B6">
            <w:pPr>
              <w:pStyle w:val="TableParagraph"/>
              <w:tabs>
                <w:tab w:val="left" w:pos="824"/>
              </w:tabs>
              <w:ind w:left="113" w:right="96"/>
              <w:jc w:val="both"/>
              <w:rPr>
                <w:sz w:val="24"/>
              </w:rPr>
            </w:pPr>
            <w:r>
              <w:rPr>
                <w:sz w:val="24"/>
              </w:rPr>
              <w:t xml:space="preserve">This service should be delivered as part of a seamless </w:t>
            </w:r>
            <w:r w:rsidR="00C21D5F">
              <w:rPr>
                <w:sz w:val="24"/>
              </w:rPr>
              <w:t>service for patients</w:t>
            </w:r>
            <w:r w:rsidR="00E46281">
              <w:rPr>
                <w:sz w:val="24"/>
              </w:rPr>
              <w:t xml:space="preserve">. </w:t>
            </w:r>
            <w:r w:rsidR="007463DD">
              <w:rPr>
                <w:sz w:val="24"/>
              </w:rPr>
              <w:t xml:space="preserve">Where the </w:t>
            </w:r>
            <w:r w:rsidR="00B37090">
              <w:rPr>
                <w:sz w:val="24"/>
              </w:rPr>
              <w:t>service</w:t>
            </w:r>
            <w:r w:rsidR="007463DD">
              <w:rPr>
                <w:sz w:val="24"/>
              </w:rPr>
              <w:t xml:space="preserve"> </w:t>
            </w:r>
            <w:r w:rsidR="00B37090">
              <w:rPr>
                <w:sz w:val="24"/>
              </w:rPr>
              <w:t>provider</w:t>
            </w:r>
            <w:r w:rsidR="007463DD">
              <w:rPr>
                <w:sz w:val="24"/>
              </w:rPr>
              <w:t xml:space="preserve"> is not the </w:t>
            </w:r>
            <w:r w:rsidR="000B2C53">
              <w:rPr>
                <w:sz w:val="24"/>
              </w:rPr>
              <w:t xml:space="preserve">patients’ </w:t>
            </w:r>
            <w:r w:rsidR="00E46281">
              <w:rPr>
                <w:sz w:val="24"/>
              </w:rPr>
              <w:t>GP,</w:t>
            </w:r>
            <w:r w:rsidR="000B2C53">
              <w:rPr>
                <w:sz w:val="24"/>
              </w:rPr>
              <w:t xml:space="preserve"> they should ensure robust </w:t>
            </w:r>
            <w:r w:rsidR="00B37090">
              <w:rPr>
                <w:sz w:val="24"/>
              </w:rPr>
              <w:t>communication</w:t>
            </w:r>
            <w:r w:rsidR="000B2C53">
              <w:rPr>
                <w:sz w:val="24"/>
              </w:rPr>
              <w:t xml:space="preserve"> mechanisms are in place</w:t>
            </w:r>
            <w:r w:rsidR="00B37090">
              <w:rPr>
                <w:sz w:val="24"/>
              </w:rPr>
              <w:t xml:space="preserve">. </w:t>
            </w:r>
          </w:p>
          <w:p w14:paraId="17DEB13A" w14:textId="56D65FF5" w:rsidR="007463DD" w:rsidRDefault="007463DD" w:rsidP="007463DD">
            <w:pPr>
              <w:pStyle w:val="TableParagraph"/>
              <w:tabs>
                <w:tab w:val="left" w:pos="824"/>
              </w:tabs>
              <w:ind w:right="98"/>
              <w:jc w:val="both"/>
              <w:rPr>
                <w:sz w:val="24"/>
              </w:rPr>
            </w:pPr>
          </w:p>
        </w:tc>
      </w:tr>
      <w:tr w:rsidR="009217DF" w14:paraId="73C364F9" w14:textId="77777777" w:rsidTr="00D14B6F">
        <w:tc>
          <w:tcPr>
            <w:tcW w:w="9640" w:type="dxa"/>
          </w:tcPr>
          <w:p w14:paraId="45D0BBDA" w14:textId="77777777" w:rsidR="009217DF" w:rsidRDefault="009217DF">
            <w:pPr>
              <w:pStyle w:val="TableParagraph"/>
              <w:spacing w:before="9"/>
              <w:rPr>
                <w:rFonts w:ascii="Times New Roman"/>
                <w:sz w:val="23"/>
              </w:rPr>
            </w:pPr>
          </w:p>
        </w:tc>
      </w:tr>
    </w:tbl>
    <w:p w14:paraId="292B2BB8" w14:textId="4F07CD88" w:rsidR="000369A6" w:rsidRDefault="000369A6">
      <w:pPr>
        <w:pStyle w:val="BodyText"/>
        <w:spacing w:before="8"/>
        <w:rPr>
          <w:rFonts w:ascii="Times New Roman"/>
          <w:sz w:val="25"/>
        </w:rPr>
      </w:pPr>
    </w:p>
    <w:p w14:paraId="7964C8C6" w14:textId="2A774320" w:rsidR="00B810DB" w:rsidRDefault="00B810DB">
      <w:pPr>
        <w:pStyle w:val="BodyText"/>
        <w:spacing w:before="8"/>
        <w:rPr>
          <w:rFonts w:ascii="Times New Roman"/>
          <w:sz w:val="25"/>
        </w:r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40"/>
      </w:tblGrid>
      <w:tr w:rsidR="000369A6" w14:paraId="01DC73BF" w14:textId="77777777">
        <w:trPr>
          <w:trHeight w:hRule="exact" w:val="326"/>
        </w:trPr>
        <w:tc>
          <w:tcPr>
            <w:tcW w:w="9640" w:type="dxa"/>
            <w:shd w:val="clear" w:color="auto" w:fill="585858"/>
          </w:tcPr>
          <w:p w14:paraId="441F5A6A" w14:textId="77777777" w:rsidR="000369A6" w:rsidRDefault="007A4E59">
            <w:pPr>
              <w:pStyle w:val="TableParagraph"/>
              <w:tabs>
                <w:tab w:val="left" w:pos="823"/>
              </w:tabs>
              <w:spacing w:line="274" w:lineRule="exact"/>
              <w:ind w:left="103"/>
              <w:rPr>
                <w:b/>
                <w:sz w:val="24"/>
              </w:rPr>
            </w:pPr>
            <w:r>
              <w:rPr>
                <w:b/>
                <w:color w:val="F79546"/>
                <w:sz w:val="24"/>
              </w:rPr>
              <w:t>4.</w:t>
            </w:r>
            <w:r>
              <w:rPr>
                <w:b/>
                <w:color w:val="F79546"/>
                <w:sz w:val="24"/>
              </w:rPr>
              <w:tab/>
              <w:t>Applicable Service</w:t>
            </w:r>
            <w:r>
              <w:rPr>
                <w:b/>
                <w:color w:val="F79546"/>
                <w:spacing w:val="-11"/>
                <w:sz w:val="24"/>
              </w:rPr>
              <w:t xml:space="preserve"> </w:t>
            </w:r>
            <w:r>
              <w:rPr>
                <w:b/>
                <w:color w:val="F79546"/>
                <w:sz w:val="24"/>
              </w:rPr>
              <w:t>Standards</w:t>
            </w:r>
          </w:p>
        </w:tc>
      </w:tr>
      <w:tr w:rsidR="000369A6" w14:paraId="72ACB29F" w14:textId="77777777" w:rsidTr="003E00F0">
        <w:tc>
          <w:tcPr>
            <w:tcW w:w="9640" w:type="dxa"/>
          </w:tcPr>
          <w:p w14:paraId="015114B2" w14:textId="77777777" w:rsidR="000369A6" w:rsidRDefault="000369A6">
            <w:pPr>
              <w:pStyle w:val="TableParagraph"/>
              <w:spacing w:before="7"/>
              <w:rPr>
                <w:rFonts w:ascii="Times New Roman"/>
                <w:sz w:val="23"/>
              </w:rPr>
            </w:pPr>
          </w:p>
          <w:p w14:paraId="38477B28" w14:textId="77777777" w:rsidR="00B37090" w:rsidRDefault="007A4E59" w:rsidP="003F7B20">
            <w:pPr>
              <w:pStyle w:val="TableParagraph"/>
              <w:tabs>
                <w:tab w:val="left" w:pos="823"/>
              </w:tabs>
              <w:ind w:left="102" w:right="4241"/>
              <w:rPr>
                <w:b/>
                <w:w w:val="99"/>
                <w:sz w:val="24"/>
              </w:rPr>
            </w:pPr>
            <w:r w:rsidRPr="00B37090">
              <w:rPr>
                <w:b/>
                <w:sz w:val="24"/>
              </w:rPr>
              <w:t>4.1</w:t>
            </w:r>
            <w:r w:rsidRPr="00B37090">
              <w:rPr>
                <w:b/>
                <w:sz w:val="24"/>
              </w:rPr>
              <w:tab/>
              <w:t>Applicable national standards</w:t>
            </w:r>
            <w:r w:rsidRPr="00B37090">
              <w:rPr>
                <w:b/>
                <w:spacing w:val="-6"/>
                <w:sz w:val="24"/>
              </w:rPr>
              <w:t xml:space="preserve"> </w:t>
            </w:r>
            <w:r w:rsidRPr="00B37090">
              <w:rPr>
                <w:b/>
                <w:sz w:val="24"/>
              </w:rPr>
              <w:t>(eg</w:t>
            </w:r>
            <w:r w:rsidRPr="00B37090">
              <w:rPr>
                <w:b/>
                <w:spacing w:val="1"/>
                <w:sz w:val="24"/>
              </w:rPr>
              <w:t xml:space="preserve"> </w:t>
            </w:r>
            <w:r w:rsidRPr="00B37090">
              <w:rPr>
                <w:b/>
                <w:sz w:val="24"/>
              </w:rPr>
              <w:t>NICE)</w:t>
            </w:r>
            <w:r w:rsidRPr="00B37090">
              <w:rPr>
                <w:b/>
                <w:w w:val="99"/>
                <w:sz w:val="24"/>
              </w:rPr>
              <w:t xml:space="preserve"> </w:t>
            </w:r>
          </w:p>
          <w:p w14:paraId="73F5A717" w14:textId="77777777" w:rsidR="00B37090" w:rsidRDefault="00B37090">
            <w:pPr>
              <w:pStyle w:val="TableParagraph"/>
              <w:tabs>
                <w:tab w:val="left" w:pos="823"/>
              </w:tabs>
              <w:ind w:left="103" w:right="4241"/>
              <w:rPr>
                <w:b/>
                <w:w w:val="99"/>
                <w:sz w:val="24"/>
              </w:rPr>
            </w:pPr>
          </w:p>
          <w:p w14:paraId="1E93ADE3" w14:textId="294C6CC6" w:rsidR="000369A6" w:rsidRDefault="007A4E59">
            <w:pPr>
              <w:pStyle w:val="TableParagraph"/>
              <w:tabs>
                <w:tab w:val="left" w:pos="823"/>
              </w:tabs>
              <w:ind w:left="103" w:right="4241"/>
              <w:rPr>
                <w:b/>
                <w:sz w:val="24"/>
              </w:rPr>
            </w:pPr>
            <w:r>
              <w:rPr>
                <w:b/>
                <w:sz w:val="24"/>
              </w:rPr>
              <w:t>Compliance with relevant guidance and</w:t>
            </w:r>
            <w:r>
              <w:rPr>
                <w:b/>
                <w:spacing w:val="-8"/>
                <w:sz w:val="24"/>
              </w:rPr>
              <w:t xml:space="preserve"> </w:t>
            </w:r>
            <w:r>
              <w:rPr>
                <w:b/>
                <w:sz w:val="24"/>
              </w:rPr>
              <w:t>policy</w:t>
            </w:r>
          </w:p>
          <w:p w14:paraId="228290F0" w14:textId="77777777" w:rsidR="000369A6" w:rsidRDefault="007A4E59">
            <w:pPr>
              <w:pStyle w:val="TableParagraph"/>
              <w:ind w:left="103"/>
              <w:rPr>
                <w:sz w:val="24"/>
              </w:rPr>
            </w:pPr>
            <w:r>
              <w:rPr>
                <w:sz w:val="24"/>
              </w:rPr>
              <w:t>The service must comply with the guidelines produced by the following organisations (where applicable):</w:t>
            </w:r>
          </w:p>
          <w:p w14:paraId="05FF05B8" w14:textId="77777777" w:rsidR="000369A6" w:rsidRDefault="000369A6">
            <w:pPr>
              <w:pStyle w:val="TableParagraph"/>
              <w:rPr>
                <w:rFonts w:ascii="Times New Roman"/>
                <w:sz w:val="24"/>
              </w:rPr>
            </w:pPr>
          </w:p>
          <w:p w14:paraId="609326D4" w14:textId="77777777" w:rsidR="000369A6" w:rsidRPr="00525BCC" w:rsidRDefault="007A4E59">
            <w:pPr>
              <w:pStyle w:val="TableParagraph"/>
              <w:ind w:left="103"/>
              <w:jc w:val="both"/>
              <w:rPr>
                <w:sz w:val="24"/>
                <w:szCs w:val="24"/>
              </w:rPr>
            </w:pPr>
            <w:r w:rsidRPr="00525BCC">
              <w:rPr>
                <w:sz w:val="24"/>
                <w:szCs w:val="24"/>
              </w:rPr>
              <w:t xml:space="preserve">NICE Guidance and recommended pathways </w:t>
            </w:r>
            <w:hyperlink r:id="rId10">
              <w:r w:rsidRPr="00525BCC">
                <w:rPr>
                  <w:color w:val="0000FF"/>
                  <w:sz w:val="24"/>
                  <w:szCs w:val="24"/>
                  <w:u w:val="single" w:color="0000FF"/>
                </w:rPr>
                <w:t>http://guidance.nice.org.uk/</w:t>
              </w:r>
            </w:hyperlink>
          </w:p>
          <w:p w14:paraId="0A2BC992" w14:textId="77777777" w:rsidR="000369A6" w:rsidRPr="00525BCC" w:rsidRDefault="000369A6">
            <w:pPr>
              <w:pStyle w:val="TableParagraph"/>
              <w:spacing w:before="11"/>
              <w:rPr>
                <w:rFonts w:ascii="Times New Roman"/>
                <w:sz w:val="24"/>
                <w:szCs w:val="24"/>
              </w:rPr>
            </w:pPr>
          </w:p>
          <w:p w14:paraId="418DE6A2" w14:textId="77777777" w:rsidR="00525BCC" w:rsidRPr="00525BCC" w:rsidRDefault="007A4E59" w:rsidP="00525BCC">
            <w:pPr>
              <w:pStyle w:val="TableParagraph"/>
              <w:ind w:left="103"/>
              <w:jc w:val="both"/>
              <w:rPr>
                <w:sz w:val="24"/>
                <w:szCs w:val="24"/>
              </w:rPr>
            </w:pPr>
            <w:r w:rsidRPr="00525BCC">
              <w:rPr>
                <w:sz w:val="24"/>
                <w:szCs w:val="24"/>
              </w:rPr>
              <w:t>Care Quality Commission registration requirements.</w:t>
            </w:r>
          </w:p>
          <w:p w14:paraId="4FA14DB7" w14:textId="77777777" w:rsidR="00525BCC" w:rsidRPr="00525BCC" w:rsidRDefault="00525BCC" w:rsidP="00525BCC">
            <w:pPr>
              <w:pStyle w:val="TableParagraph"/>
              <w:ind w:left="103"/>
              <w:jc w:val="both"/>
              <w:rPr>
                <w:sz w:val="24"/>
                <w:szCs w:val="24"/>
              </w:rPr>
            </w:pPr>
          </w:p>
          <w:p w14:paraId="5CFD4EF9" w14:textId="7BD5AED6" w:rsidR="00525BCC" w:rsidRPr="00525BCC" w:rsidRDefault="00525BCC" w:rsidP="00525BCC">
            <w:pPr>
              <w:pStyle w:val="TableParagraph"/>
              <w:ind w:left="103"/>
              <w:jc w:val="both"/>
              <w:rPr>
                <w:sz w:val="24"/>
                <w:szCs w:val="24"/>
              </w:rPr>
            </w:pPr>
            <w:r w:rsidRPr="00525BCC">
              <w:rPr>
                <w:sz w:val="24"/>
                <w:szCs w:val="24"/>
              </w:rPr>
              <w:t xml:space="preserve">UKMI Suggestions for Drug Monitoring in Adults in Primary Care (February 2014) </w:t>
            </w:r>
          </w:p>
          <w:p w14:paraId="004F8D78" w14:textId="77777777" w:rsidR="00525BCC" w:rsidRPr="00525BCC" w:rsidRDefault="00525BCC" w:rsidP="00525BCC">
            <w:pPr>
              <w:pStyle w:val="TableParagraph"/>
              <w:ind w:left="103"/>
              <w:jc w:val="both"/>
              <w:rPr>
                <w:sz w:val="24"/>
                <w:szCs w:val="24"/>
              </w:rPr>
            </w:pPr>
          </w:p>
          <w:p w14:paraId="03DE709A" w14:textId="77777777" w:rsidR="00525BCC" w:rsidRDefault="00525BCC" w:rsidP="00525BCC">
            <w:pPr>
              <w:pStyle w:val="TableParagraph"/>
              <w:ind w:left="103"/>
              <w:jc w:val="both"/>
              <w:rPr>
                <w:sz w:val="24"/>
                <w:szCs w:val="24"/>
              </w:rPr>
            </w:pPr>
            <w:r w:rsidRPr="00525BCC">
              <w:rPr>
                <w:sz w:val="24"/>
                <w:szCs w:val="24"/>
              </w:rPr>
              <w:t xml:space="preserve">NHS Telford &amp; Wrekin and Shropshire CCG Shared Care Agreements </w:t>
            </w:r>
          </w:p>
          <w:p w14:paraId="4A0B607B" w14:textId="77777777" w:rsidR="00525BCC" w:rsidRDefault="00525BCC" w:rsidP="00525BCC">
            <w:pPr>
              <w:pStyle w:val="TableParagraph"/>
              <w:ind w:left="103"/>
              <w:jc w:val="both"/>
              <w:rPr>
                <w:sz w:val="24"/>
                <w:szCs w:val="24"/>
              </w:rPr>
            </w:pPr>
          </w:p>
          <w:p w14:paraId="38C915EE" w14:textId="77777777" w:rsidR="00525BCC" w:rsidRDefault="00525BCC" w:rsidP="00525BCC">
            <w:pPr>
              <w:pStyle w:val="TableParagraph"/>
              <w:ind w:left="103"/>
              <w:jc w:val="both"/>
              <w:rPr>
                <w:rStyle w:val="Hyperlink"/>
                <w:sz w:val="24"/>
                <w:szCs w:val="24"/>
              </w:rPr>
            </w:pPr>
            <w:r w:rsidRPr="00525BCC">
              <w:rPr>
                <w:sz w:val="24"/>
                <w:szCs w:val="24"/>
              </w:rPr>
              <w:t xml:space="preserve">NPSA Actions that can make anticoagulant therapy safer ref: NPSA/2007/18 </w:t>
            </w:r>
            <w:hyperlink r:id="rId11" w:history="1">
              <w:r w:rsidRPr="00525BCC">
                <w:rPr>
                  <w:rStyle w:val="Hyperlink"/>
                  <w:sz w:val="24"/>
                  <w:szCs w:val="24"/>
                </w:rPr>
                <w:t>http://www.nrls.npsa.nhs.uk/resources/?entryid45=59814</w:t>
              </w:r>
            </w:hyperlink>
          </w:p>
          <w:p w14:paraId="63233E9E" w14:textId="77777777" w:rsidR="00525BCC" w:rsidRDefault="00525BCC" w:rsidP="00525BCC">
            <w:pPr>
              <w:pStyle w:val="TableParagraph"/>
              <w:ind w:left="103"/>
              <w:jc w:val="both"/>
              <w:rPr>
                <w:rStyle w:val="Hyperlink"/>
                <w:sz w:val="24"/>
                <w:szCs w:val="24"/>
              </w:rPr>
            </w:pPr>
          </w:p>
          <w:p w14:paraId="542A6BF3" w14:textId="77777777" w:rsidR="00525BCC" w:rsidRDefault="00525BCC" w:rsidP="00525BCC">
            <w:pPr>
              <w:pStyle w:val="TableParagraph"/>
              <w:ind w:left="103"/>
              <w:jc w:val="both"/>
              <w:rPr>
                <w:sz w:val="24"/>
                <w:szCs w:val="24"/>
              </w:rPr>
            </w:pPr>
            <w:r w:rsidRPr="00525BCC">
              <w:rPr>
                <w:sz w:val="24"/>
                <w:szCs w:val="24"/>
              </w:rPr>
              <w:t xml:space="preserve">NICE CG 180: Atrial Fibrillation </w:t>
            </w:r>
            <w:hyperlink r:id="rId12" w:history="1">
              <w:r w:rsidRPr="00525BCC">
                <w:rPr>
                  <w:rStyle w:val="Hyperlink"/>
                  <w:sz w:val="24"/>
                  <w:szCs w:val="24"/>
                </w:rPr>
                <w:t>https://www.nice.org.uk/guidance/cg180</w:t>
              </w:r>
            </w:hyperlink>
            <w:r w:rsidRPr="00525BCC">
              <w:rPr>
                <w:sz w:val="24"/>
                <w:szCs w:val="24"/>
              </w:rPr>
              <w:t xml:space="preserve"> </w:t>
            </w:r>
          </w:p>
          <w:p w14:paraId="0B445A92" w14:textId="77777777" w:rsidR="00525BCC" w:rsidRDefault="00525BCC" w:rsidP="00525BCC">
            <w:pPr>
              <w:pStyle w:val="TableParagraph"/>
              <w:ind w:left="103"/>
              <w:jc w:val="both"/>
              <w:rPr>
                <w:sz w:val="24"/>
                <w:szCs w:val="24"/>
              </w:rPr>
            </w:pPr>
          </w:p>
          <w:p w14:paraId="1F9E0C40" w14:textId="77777777" w:rsidR="00525BCC" w:rsidRDefault="00525BCC" w:rsidP="00525BCC">
            <w:pPr>
              <w:pStyle w:val="TableParagraph"/>
              <w:ind w:left="103"/>
              <w:jc w:val="both"/>
              <w:rPr>
                <w:sz w:val="24"/>
                <w:szCs w:val="24"/>
              </w:rPr>
            </w:pPr>
            <w:r w:rsidRPr="00525BCC">
              <w:rPr>
                <w:sz w:val="24"/>
                <w:szCs w:val="24"/>
              </w:rPr>
              <w:lastRenderedPageBreak/>
              <w:t>British Society for Haematology guidelines- Warfarin 4</w:t>
            </w:r>
            <w:r w:rsidRPr="00525BCC">
              <w:rPr>
                <w:sz w:val="24"/>
                <w:szCs w:val="24"/>
                <w:vertAlign w:val="superscript"/>
              </w:rPr>
              <w:t>th</w:t>
            </w:r>
            <w:r w:rsidRPr="00525BCC">
              <w:rPr>
                <w:sz w:val="24"/>
                <w:szCs w:val="24"/>
              </w:rPr>
              <w:t xml:space="preserve"> Edition </w:t>
            </w:r>
            <w:hyperlink r:id="rId13" w:history="1">
              <w:r w:rsidRPr="00525BCC">
                <w:rPr>
                  <w:rStyle w:val="Hyperlink"/>
                  <w:sz w:val="24"/>
                  <w:szCs w:val="24"/>
                </w:rPr>
                <w:t>https://onlinelibrary.wiley.com/doi/full/10.1111/j.1365-2141.2011.08753.x</w:t>
              </w:r>
            </w:hyperlink>
            <w:r w:rsidRPr="00525BCC">
              <w:rPr>
                <w:sz w:val="24"/>
                <w:szCs w:val="24"/>
              </w:rPr>
              <w:t xml:space="preserve"> </w:t>
            </w:r>
          </w:p>
          <w:p w14:paraId="38AC6E2C" w14:textId="77777777" w:rsidR="00525BCC" w:rsidRDefault="00525BCC" w:rsidP="00525BCC">
            <w:pPr>
              <w:pStyle w:val="TableParagraph"/>
              <w:ind w:left="103"/>
              <w:jc w:val="both"/>
              <w:rPr>
                <w:sz w:val="24"/>
                <w:szCs w:val="24"/>
              </w:rPr>
            </w:pPr>
          </w:p>
          <w:p w14:paraId="3A666E60" w14:textId="0D48B09F" w:rsidR="00525BCC" w:rsidRPr="00525BCC" w:rsidRDefault="00525BCC" w:rsidP="00525BCC">
            <w:pPr>
              <w:pStyle w:val="TableParagraph"/>
              <w:ind w:left="103"/>
              <w:jc w:val="both"/>
              <w:rPr>
                <w:sz w:val="24"/>
                <w:szCs w:val="24"/>
              </w:rPr>
            </w:pPr>
            <w:r w:rsidRPr="00525BCC">
              <w:rPr>
                <w:sz w:val="24"/>
                <w:szCs w:val="24"/>
              </w:rPr>
              <w:t xml:space="preserve">Shrewsbury and Telford Hospital NHS Trust local guidelines </w:t>
            </w:r>
          </w:p>
          <w:p w14:paraId="4289811B" w14:textId="77777777" w:rsidR="00525BCC" w:rsidRDefault="00525BCC" w:rsidP="00525BCC">
            <w:pPr>
              <w:pStyle w:val="TableParagraph"/>
              <w:ind w:left="103"/>
              <w:jc w:val="both"/>
              <w:rPr>
                <w:sz w:val="24"/>
                <w:szCs w:val="24"/>
              </w:rPr>
            </w:pPr>
          </w:p>
          <w:p w14:paraId="0D9B88ED" w14:textId="77777777" w:rsidR="005D4067" w:rsidRPr="00525BCC" w:rsidRDefault="005D4067" w:rsidP="00525BCC">
            <w:pPr>
              <w:pStyle w:val="TableParagraph"/>
              <w:ind w:left="103"/>
              <w:jc w:val="both"/>
              <w:rPr>
                <w:sz w:val="24"/>
                <w:szCs w:val="24"/>
              </w:rPr>
            </w:pPr>
          </w:p>
          <w:p w14:paraId="2FFB20DC" w14:textId="77777777" w:rsidR="003E00F0" w:rsidRDefault="003E00F0" w:rsidP="003E00F0">
            <w:pPr>
              <w:pStyle w:val="TableParagraph"/>
              <w:rPr>
                <w:rFonts w:ascii="Times New Roman"/>
                <w:sz w:val="24"/>
              </w:rPr>
            </w:pPr>
          </w:p>
          <w:p w14:paraId="50286193" w14:textId="68FE05F7" w:rsidR="003E00F0" w:rsidRDefault="00CE1094" w:rsidP="003F7B20">
            <w:pPr>
              <w:pStyle w:val="TableParagraph"/>
              <w:numPr>
                <w:ilvl w:val="1"/>
                <w:numId w:val="23"/>
              </w:numPr>
              <w:tabs>
                <w:tab w:val="left" w:pos="847"/>
                <w:tab w:val="left" w:pos="848"/>
              </w:tabs>
              <w:ind w:left="470" w:right="601" w:hanging="357"/>
              <w:rPr>
                <w:b/>
                <w:sz w:val="24"/>
              </w:rPr>
            </w:pPr>
            <w:r>
              <w:rPr>
                <w:b/>
                <w:sz w:val="24"/>
              </w:rPr>
              <w:tab/>
            </w:r>
            <w:r w:rsidR="003E00F0" w:rsidRPr="00CE1094">
              <w:rPr>
                <w:b/>
                <w:sz w:val="24"/>
              </w:rPr>
              <w:t xml:space="preserve">Applicable standards set out in Guidance and/or issued by a competent </w:t>
            </w:r>
            <w:r>
              <w:rPr>
                <w:b/>
                <w:sz w:val="24"/>
              </w:rPr>
              <w:tab/>
            </w:r>
            <w:r w:rsidR="003E00F0" w:rsidRPr="00CE1094">
              <w:rPr>
                <w:b/>
                <w:sz w:val="24"/>
              </w:rPr>
              <w:t>body (eg Royal</w:t>
            </w:r>
            <w:r w:rsidR="003E00F0" w:rsidRPr="00CE1094">
              <w:rPr>
                <w:b/>
                <w:spacing w:val="-5"/>
                <w:sz w:val="24"/>
              </w:rPr>
              <w:t xml:space="preserve"> </w:t>
            </w:r>
            <w:r w:rsidR="003E00F0" w:rsidRPr="00CE1094">
              <w:rPr>
                <w:b/>
                <w:sz w:val="24"/>
              </w:rPr>
              <w:t>Colleges)</w:t>
            </w:r>
          </w:p>
          <w:p w14:paraId="7437C8A4" w14:textId="77777777" w:rsidR="002D4C6D" w:rsidRPr="00CE1094" w:rsidRDefault="002D4C6D" w:rsidP="002D4C6D">
            <w:pPr>
              <w:pStyle w:val="TableParagraph"/>
              <w:tabs>
                <w:tab w:val="left" w:pos="847"/>
                <w:tab w:val="left" w:pos="848"/>
              </w:tabs>
              <w:ind w:left="360" w:right="602"/>
              <w:rPr>
                <w:b/>
                <w:sz w:val="24"/>
              </w:rPr>
            </w:pPr>
          </w:p>
          <w:p w14:paraId="7292135F" w14:textId="77777777" w:rsidR="002D4C6D" w:rsidRDefault="002D4C6D" w:rsidP="002D4C6D">
            <w:pPr>
              <w:pStyle w:val="TableParagraph"/>
              <w:ind w:left="103" w:right="5002"/>
              <w:rPr>
                <w:sz w:val="24"/>
              </w:rPr>
            </w:pPr>
            <w:r>
              <w:rPr>
                <w:sz w:val="24"/>
              </w:rPr>
              <w:t xml:space="preserve">Rules of Professional Conduct </w:t>
            </w:r>
            <w:hyperlink r:id="rId14">
              <w:r>
                <w:rPr>
                  <w:color w:val="0000FF"/>
                  <w:sz w:val="24"/>
                  <w:u w:val="single" w:color="0000FF"/>
                </w:rPr>
                <w:t>http://www.gmc-uk.org/guidance/index.asp</w:t>
              </w:r>
            </w:hyperlink>
          </w:p>
          <w:p w14:paraId="040AA533" w14:textId="237D35E7" w:rsidR="00CE1094" w:rsidRDefault="00CE1094" w:rsidP="003E00F0">
            <w:pPr>
              <w:pStyle w:val="TableParagraph"/>
              <w:ind w:left="103" w:right="108"/>
              <w:jc w:val="both"/>
              <w:rPr>
                <w:b/>
                <w:color w:val="009966"/>
                <w:sz w:val="24"/>
              </w:rPr>
            </w:pPr>
          </w:p>
          <w:p w14:paraId="7D71CBD1" w14:textId="583307BD" w:rsidR="0057119C" w:rsidRDefault="0057119C" w:rsidP="003F7B20">
            <w:pPr>
              <w:pStyle w:val="TableParagraph"/>
              <w:ind w:left="113" w:right="108"/>
              <w:jc w:val="both"/>
              <w:rPr>
                <w:sz w:val="24"/>
              </w:rPr>
            </w:pPr>
            <w:r>
              <w:rPr>
                <w:b/>
                <w:sz w:val="24"/>
              </w:rPr>
              <w:t>4.3</w:t>
            </w:r>
            <w:r>
              <w:rPr>
                <w:b/>
                <w:sz w:val="24"/>
              </w:rPr>
              <w:tab/>
            </w:r>
            <w:r w:rsidR="003E00F0" w:rsidRPr="00CE1094">
              <w:rPr>
                <w:b/>
                <w:sz w:val="24"/>
              </w:rPr>
              <w:t>Applicable local standards</w:t>
            </w:r>
            <w:r w:rsidR="007A4E59" w:rsidRPr="00CE1094">
              <w:rPr>
                <w:sz w:val="24"/>
              </w:rPr>
              <w:t xml:space="preserve"> </w:t>
            </w:r>
          </w:p>
          <w:p w14:paraId="0657FC40" w14:textId="69F4A69F" w:rsidR="0057119C" w:rsidRDefault="0057119C" w:rsidP="0057119C">
            <w:pPr>
              <w:pStyle w:val="ListParagraph"/>
              <w:rPr>
                <w:sz w:val="24"/>
              </w:rPr>
            </w:pPr>
          </w:p>
          <w:p w14:paraId="69A9027E" w14:textId="448F4481" w:rsidR="002D4C6D" w:rsidRDefault="002D4C6D" w:rsidP="0081077E">
            <w:pPr>
              <w:pStyle w:val="TableParagraph"/>
              <w:ind w:left="103"/>
              <w:rPr>
                <w:sz w:val="24"/>
              </w:rPr>
            </w:pPr>
            <w:r>
              <w:rPr>
                <w:sz w:val="24"/>
              </w:rPr>
              <w:t xml:space="preserve">Applicable policies produced by NHS </w:t>
            </w:r>
            <w:r w:rsidR="0081077E">
              <w:rPr>
                <w:sz w:val="24"/>
              </w:rPr>
              <w:t>Telford &amp; Wrekin and Shropshire</w:t>
            </w:r>
            <w:r>
              <w:rPr>
                <w:sz w:val="24"/>
              </w:rPr>
              <w:t xml:space="preserve"> CCGs and any adaptations to these policies as</w:t>
            </w:r>
            <w:r w:rsidR="0081077E">
              <w:rPr>
                <w:sz w:val="24"/>
              </w:rPr>
              <w:t xml:space="preserve"> adopted from the 1st April 2020</w:t>
            </w:r>
            <w:r>
              <w:rPr>
                <w:sz w:val="24"/>
              </w:rPr>
              <w:t xml:space="preserve"> including Area Prescribing Committee guidance: </w:t>
            </w:r>
          </w:p>
          <w:p w14:paraId="039DE8F7" w14:textId="11B03809" w:rsidR="0057119C" w:rsidRPr="003A52A2" w:rsidRDefault="003A52A2" w:rsidP="003F7B20">
            <w:pPr>
              <w:pStyle w:val="TableParagraph"/>
              <w:ind w:left="113" w:right="108"/>
              <w:jc w:val="both"/>
              <w:rPr>
                <w:b/>
                <w:sz w:val="24"/>
              </w:rPr>
            </w:pPr>
            <w:r>
              <w:rPr>
                <w:b/>
                <w:sz w:val="24"/>
              </w:rPr>
              <w:t>4.</w:t>
            </w:r>
            <w:r w:rsidR="003F7B20">
              <w:rPr>
                <w:b/>
                <w:sz w:val="24"/>
              </w:rPr>
              <w:t>4</w:t>
            </w:r>
            <w:r>
              <w:rPr>
                <w:b/>
                <w:sz w:val="24"/>
              </w:rPr>
              <w:tab/>
            </w:r>
            <w:r w:rsidR="0057119C" w:rsidRPr="003A52A2">
              <w:rPr>
                <w:b/>
                <w:sz w:val="24"/>
              </w:rPr>
              <w:t>Equal Opportunities</w:t>
            </w:r>
          </w:p>
          <w:p w14:paraId="5BFEED99" w14:textId="77777777" w:rsidR="0057119C" w:rsidRPr="0057119C" w:rsidRDefault="0057119C" w:rsidP="00E379B6">
            <w:pPr>
              <w:pStyle w:val="TableParagraph"/>
              <w:ind w:left="113" w:right="108"/>
              <w:jc w:val="both"/>
              <w:rPr>
                <w:sz w:val="24"/>
              </w:rPr>
            </w:pPr>
            <w:r w:rsidRPr="0057119C">
              <w:rPr>
                <w:sz w:val="24"/>
              </w:rPr>
              <w:t>The service provider must demonstrate how they meet equal opportunity requirements in the following areas:</w:t>
            </w:r>
          </w:p>
          <w:p w14:paraId="0A5CDA2F" w14:textId="14436283" w:rsidR="0057119C" w:rsidRPr="0057119C" w:rsidRDefault="0057119C" w:rsidP="00625E55">
            <w:pPr>
              <w:pStyle w:val="TableParagraph"/>
              <w:numPr>
                <w:ilvl w:val="0"/>
                <w:numId w:val="24"/>
              </w:numPr>
              <w:ind w:left="714" w:right="108" w:hanging="357"/>
              <w:jc w:val="both"/>
              <w:rPr>
                <w:sz w:val="24"/>
              </w:rPr>
            </w:pPr>
            <w:r w:rsidRPr="0057119C">
              <w:rPr>
                <w:sz w:val="24"/>
              </w:rPr>
              <w:t>They must be committed to equal opportunities and must not discriminate in performance of the service towards service users or members of staff in any way;</w:t>
            </w:r>
          </w:p>
          <w:p w14:paraId="272AFFFD" w14:textId="4176E32B" w:rsidR="0057119C" w:rsidRPr="0057119C" w:rsidRDefault="0057119C" w:rsidP="00625E55">
            <w:pPr>
              <w:pStyle w:val="TableParagraph"/>
              <w:numPr>
                <w:ilvl w:val="0"/>
                <w:numId w:val="24"/>
              </w:numPr>
              <w:ind w:left="714" w:right="108" w:hanging="357"/>
              <w:jc w:val="both"/>
              <w:rPr>
                <w:sz w:val="24"/>
              </w:rPr>
            </w:pPr>
            <w:r w:rsidRPr="0057119C">
              <w:rPr>
                <w:sz w:val="24"/>
              </w:rPr>
              <w:t>The service provider must be able to provide chaperones at the patient’s request;</w:t>
            </w:r>
          </w:p>
          <w:p w14:paraId="37AB4841" w14:textId="7826F1C3" w:rsidR="0057119C" w:rsidRPr="0057119C" w:rsidRDefault="0057119C" w:rsidP="00625E55">
            <w:pPr>
              <w:pStyle w:val="TableParagraph"/>
              <w:numPr>
                <w:ilvl w:val="0"/>
                <w:numId w:val="24"/>
              </w:numPr>
              <w:ind w:left="714" w:right="108" w:hanging="357"/>
              <w:jc w:val="both"/>
              <w:rPr>
                <w:sz w:val="24"/>
              </w:rPr>
            </w:pPr>
            <w:r w:rsidRPr="0057119C">
              <w:rPr>
                <w:sz w:val="24"/>
              </w:rPr>
              <w:t>The service provider must also be able to provide premises, facilities and treatment rooms that are compliant with disability legislation</w:t>
            </w:r>
          </w:p>
          <w:p w14:paraId="40FFBA0F" w14:textId="0915AC32" w:rsidR="0057119C" w:rsidRPr="0057119C" w:rsidRDefault="0057119C" w:rsidP="00625E55">
            <w:pPr>
              <w:pStyle w:val="TableParagraph"/>
              <w:numPr>
                <w:ilvl w:val="0"/>
                <w:numId w:val="24"/>
              </w:numPr>
              <w:ind w:left="714" w:right="108" w:hanging="357"/>
              <w:jc w:val="both"/>
              <w:rPr>
                <w:sz w:val="24"/>
              </w:rPr>
            </w:pPr>
            <w:r w:rsidRPr="0057119C">
              <w:rPr>
                <w:sz w:val="24"/>
              </w:rPr>
              <w:t>The service provider must be able to provide access to foreign language interpreter if necessary.</w:t>
            </w:r>
          </w:p>
          <w:p w14:paraId="2D91A020" w14:textId="77777777" w:rsidR="0057119C" w:rsidRPr="0057119C" w:rsidRDefault="0057119C" w:rsidP="0057119C">
            <w:pPr>
              <w:pStyle w:val="TableParagraph"/>
              <w:ind w:right="108"/>
              <w:jc w:val="both"/>
              <w:rPr>
                <w:sz w:val="24"/>
              </w:rPr>
            </w:pPr>
          </w:p>
          <w:p w14:paraId="46B8BAD3" w14:textId="7EDD603A" w:rsidR="0057119C" w:rsidRPr="003A52A2" w:rsidRDefault="003A52A2" w:rsidP="003F7B20">
            <w:pPr>
              <w:pStyle w:val="TableParagraph"/>
              <w:ind w:left="113" w:right="108"/>
              <w:jc w:val="both"/>
              <w:rPr>
                <w:b/>
                <w:sz w:val="24"/>
              </w:rPr>
            </w:pPr>
            <w:r>
              <w:rPr>
                <w:b/>
                <w:sz w:val="24"/>
              </w:rPr>
              <w:t>4.</w:t>
            </w:r>
            <w:r w:rsidR="003F7B20">
              <w:rPr>
                <w:b/>
                <w:sz w:val="24"/>
              </w:rPr>
              <w:t>5</w:t>
            </w:r>
            <w:r>
              <w:rPr>
                <w:b/>
                <w:sz w:val="24"/>
              </w:rPr>
              <w:tab/>
            </w:r>
            <w:r w:rsidR="0057119C" w:rsidRPr="003A52A2">
              <w:rPr>
                <w:b/>
                <w:sz w:val="24"/>
              </w:rPr>
              <w:t>Clinical qualifications</w:t>
            </w:r>
          </w:p>
          <w:p w14:paraId="37E40A44" w14:textId="77777777" w:rsidR="0057119C" w:rsidRPr="0057119C" w:rsidRDefault="0057119C" w:rsidP="00E379B6">
            <w:pPr>
              <w:pStyle w:val="TableParagraph"/>
              <w:ind w:left="113" w:right="108"/>
              <w:jc w:val="both"/>
              <w:rPr>
                <w:sz w:val="24"/>
              </w:rPr>
            </w:pPr>
            <w:r w:rsidRPr="0057119C">
              <w:rPr>
                <w:sz w:val="24"/>
              </w:rPr>
              <w:t>Staff involved in the delivery of this service will be appropriately trained and competent in the provision of the services offered.</w:t>
            </w:r>
          </w:p>
          <w:p w14:paraId="426AB5D5" w14:textId="77777777" w:rsidR="0057119C" w:rsidRPr="0057119C" w:rsidRDefault="0057119C" w:rsidP="00E379B6">
            <w:pPr>
              <w:pStyle w:val="TableParagraph"/>
              <w:ind w:left="113" w:right="108"/>
              <w:jc w:val="both"/>
              <w:rPr>
                <w:sz w:val="24"/>
              </w:rPr>
            </w:pPr>
          </w:p>
          <w:p w14:paraId="12CE9222" w14:textId="77777777" w:rsidR="0057119C" w:rsidRPr="0057119C" w:rsidRDefault="0057119C" w:rsidP="00E379B6">
            <w:pPr>
              <w:pStyle w:val="TableParagraph"/>
              <w:ind w:left="113" w:right="108"/>
              <w:jc w:val="both"/>
              <w:rPr>
                <w:sz w:val="24"/>
              </w:rPr>
            </w:pPr>
            <w:r w:rsidRPr="0057119C">
              <w:rPr>
                <w:sz w:val="24"/>
              </w:rPr>
              <w:t>The services provided and scope of these services will be reviewed with staff as part of the annual appraisal process</w:t>
            </w:r>
          </w:p>
          <w:p w14:paraId="19C8EF75" w14:textId="77777777" w:rsidR="0057119C" w:rsidRPr="0057119C" w:rsidRDefault="0057119C" w:rsidP="00E379B6">
            <w:pPr>
              <w:pStyle w:val="TableParagraph"/>
              <w:ind w:left="113" w:right="108"/>
              <w:jc w:val="both"/>
              <w:rPr>
                <w:sz w:val="24"/>
              </w:rPr>
            </w:pPr>
          </w:p>
          <w:p w14:paraId="4C970B75" w14:textId="7EB7E85C" w:rsidR="0057119C" w:rsidRPr="0057119C" w:rsidRDefault="0057119C" w:rsidP="00E379B6">
            <w:pPr>
              <w:pStyle w:val="TableParagraph"/>
              <w:ind w:left="113" w:right="108"/>
              <w:jc w:val="both"/>
              <w:rPr>
                <w:sz w:val="24"/>
              </w:rPr>
            </w:pPr>
            <w:r w:rsidRPr="0057119C">
              <w:rPr>
                <w:sz w:val="24"/>
              </w:rPr>
              <w:t>The service provider must provide evidence to the CCG</w:t>
            </w:r>
            <w:r w:rsidR="003A52A2">
              <w:rPr>
                <w:sz w:val="24"/>
              </w:rPr>
              <w:t>s</w:t>
            </w:r>
            <w:r w:rsidRPr="0057119C">
              <w:rPr>
                <w:sz w:val="24"/>
              </w:rPr>
              <w:t xml:space="preserve"> that their healthcare professionals have the appropriate knowledge, skills, experience, qualifications and competency to provide the service. This must include but would not be limited to the following requirements:</w:t>
            </w:r>
          </w:p>
          <w:p w14:paraId="53D62E16" w14:textId="7AF737EA" w:rsidR="0057119C" w:rsidRPr="0057119C" w:rsidRDefault="0057119C" w:rsidP="00625E55">
            <w:pPr>
              <w:pStyle w:val="TableParagraph"/>
              <w:numPr>
                <w:ilvl w:val="0"/>
                <w:numId w:val="19"/>
              </w:numPr>
              <w:ind w:left="680" w:right="108" w:hanging="340"/>
              <w:jc w:val="both"/>
              <w:rPr>
                <w:sz w:val="24"/>
              </w:rPr>
            </w:pPr>
            <w:r w:rsidRPr="0057119C">
              <w:rPr>
                <w:sz w:val="24"/>
              </w:rPr>
              <w:t>Enhanced Disclosure and Barring Service (DBS formally Criminal Records Bureau</w:t>
            </w:r>
            <w:r w:rsidR="00A04147">
              <w:rPr>
                <w:sz w:val="24"/>
              </w:rPr>
              <w:t xml:space="preserve"> </w:t>
            </w:r>
            <w:r w:rsidRPr="0057119C">
              <w:rPr>
                <w:sz w:val="24"/>
              </w:rPr>
              <w:t>CRB) checks have been completed;</w:t>
            </w:r>
          </w:p>
          <w:p w14:paraId="5AB2E4F9" w14:textId="0A1CCB53" w:rsidR="0057119C" w:rsidRPr="0057119C" w:rsidRDefault="0057119C" w:rsidP="00625E55">
            <w:pPr>
              <w:pStyle w:val="TableParagraph"/>
              <w:numPr>
                <w:ilvl w:val="0"/>
                <w:numId w:val="19"/>
              </w:numPr>
              <w:ind w:left="680" w:right="108" w:hanging="340"/>
              <w:jc w:val="both"/>
              <w:rPr>
                <w:sz w:val="24"/>
              </w:rPr>
            </w:pPr>
            <w:r w:rsidRPr="0057119C">
              <w:rPr>
                <w:sz w:val="24"/>
              </w:rPr>
              <w:t>Where applicable staff will be fully registered with the appropriate Professional Body;</w:t>
            </w:r>
          </w:p>
          <w:p w14:paraId="1C06FC47" w14:textId="7928FE58" w:rsidR="0057119C" w:rsidRPr="0057119C" w:rsidRDefault="0057119C" w:rsidP="00625E55">
            <w:pPr>
              <w:pStyle w:val="TableParagraph"/>
              <w:numPr>
                <w:ilvl w:val="0"/>
                <w:numId w:val="19"/>
              </w:numPr>
              <w:ind w:left="680" w:right="108" w:hanging="340"/>
              <w:jc w:val="both"/>
              <w:rPr>
                <w:sz w:val="24"/>
              </w:rPr>
            </w:pPr>
            <w:r w:rsidRPr="0057119C">
              <w:rPr>
                <w:sz w:val="24"/>
              </w:rPr>
              <w:t>All staff will be able to provide evidence of their continuing professional development post qualification.</w:t>
            </w:r>
          </w:p>
          <w:p w14:paraId="5308DEC6" w14:textId="77777777" w:rsidR="0057119C" w:rsidRPr="0057119C" w:rsidRDefault="0057119C" w:rsidP="0057119C">
            <w:pPr>
              <w:pStyle w:val="TableParagraph"/>
              <w:ind w:right="108"/>
              <w:jc w:val="both"/>
              <w:rPr>
                <w:sz w:val="24"/>
              </w:rPr>
            </w:pPr>
            <w:r w:rsidRPr="0057119C">
              <w:rPr>
                <w:sz w:val="24"/>
              </w:rPr>
              <w:t xml:space="preserve"> </w:t>
            </w:r>
          </w:p>
          <w:p w14:paraId="28931D9D" w14:textId="4BDA23B8" w:rsidR="0057119C" w:rsidRPr="0057119C" w:rsidRDefault="0057119C" w:rsidP="00E379B6">
            <w:pPr>
              <w:pStyle w:val="TableParagraph"/>
              <w:ind w:left="113" w:right="108"/>
              <w:jc w:val="both"/>
              <w:rPr>
                <w:sz w:val="24"/>
              </w:rPr>
            </w:pPr>
            <w:r w:rsidRPr="0057119C">
              <w:rPr>
                <w:sz w:val="24"/>
              </w:rPr>
              <w:t>The service provider must comply with all relevant polic</w:t>
            </w:r>
            <w:r w:rsidR="00A14C46">
              <w:rPr>
                <w:sz w:val="24"/>
              </w:rPr>
              <w:t>ies</w:t>
            </w:r>
            <w:r w:rsidRPr="0057119C">
              <w:rPr>
                <w:sz w:val="24"/>
              </w:rPr>
              <w:t xml:space="preserve"> and procedure</w:t>
            </w:r>
            <w:r w:rsidR="00A14C46">
              <w:rPr>
                <w:sz w:val="24"/>
              </w:rPr>
              <w:t>s</w:t>
            </w:r>
            <w:r w:rsidRPr="0057119C">
              <w:rPr>
                <w:sz w:val="24"/>
              </w:rPr>
              <w:t xml:space="preserve"> as contained in the NHS Standard Contract including but not limited to; safeguarding of vulnerable </w:t>
            </w:r>
            <w:r w:rsidRPr="0057119C">
              <w:rPr>
                <w:sz w:val="24"/>
              </w:rPr>
              <w:lastRenderedPageBreak/>
              <w:t xml:space="preserve">patients (including children), health and safety, marketing and branding and insurance requirements (professional, public and product and </w:t>
            </w:r>
            <w:r w:rsidR="00A04147" w:rsidRPr="0057119C">
              <w:rPr>
                <w:sz w:val="24"/>
              </w:rPr>
              <w:t>employer’s</w:t>
            </w:r>
            <w:r w:rsidRPr="0057119C">
              <w:rPr>
                <w:sz w:val="24"/>
              </w:rPr>
              <w:t xml:space="preserve"> liability).</w:t>
            </w:r>
          </w:p>
          <w:p w14:paraId="2EE3C7C8" w14:textId="77777777" w:rsidR="0057119C" w:rsidRPr="0057119C" w:rsidRDefault="0057119C" w:rsidP="00E379B6">
            <w:pPr>
              <w:pStyle w:val="TableParagraph"/>
              <w:ind w:left="113" w:right="108"/>
              <w:jc w:val="both"/>
              <w:rPr>
                <w:sz w:val="24"/>
              </w:rPr>
            </w:pPr>
          </w:p>
          <w:p w14:paraId="737422E3" w14:textId="333AB3C5" w:rsidR="0057119C" w:rsidRDefault="0057119C" w:rsidP="00E379B6">
            <w:pPr>
              <w:pStyle w:val="TableParagraph"/>
              <w:ind w:left="113" w:right="108"/>
              <w:jc w:val="both"/>
              <w:rPr>
                <w:sz w:val="24"/>
              </w:rPr>
            </w:pPr>
            <w:r w:rsidRPr="0057119C">
              <w:rPr>
                <w:sz w:val="24"/>
              </w:rPr>
              <w:t>The service provider must also comply with all relevant guidance and referral protocols produced by the CCG. The aim of these protocols will be to ensure that patients are treated by the most appropriate professional, in the most appropriate location with the most effective treatment.</w:t>
            </w:r>
          </w:p>
          <w:p w14:paraId="6E0F5C96" w14:textId="77777777" w:rsidR="00B810DB" w:rsidRPr="0057119C" w:rsidRDefault="00B810DB" w:rsidP="0057119C">
            <w:pPr>
              <w:pStyle w:val="TableParagraph"/>
              <w:ind w:right="108"/>
              <w:jc w:val="both"/>
              <w:rPr>
                <w:sz w:val="24"/>
              </w:rPr>
            </w:pPr>
          </w:p>
          <w:p w14:paraId="365540DE" w14:textId="42821093" w:rsidR="0057119C" w:rsidRPr="008376C3" w:rsidRDefault="008376C3" w:rsidP="003F7B20">
            <w:pPr>
              <w:pStyle w:val="TableParagraph"/>
              <w:ind w:left="113" w:right="108"/>
              <w:jc w:val="both"/>
              <w:rPr>
                <w:b/>
                <w:sz w:val="24"/>
              </w:rPr>
            </w:pPr>
            <w:r w:rsidRPr="008376C3">
              <w:rPr>
                <w:b/>
                <w:sz w:val="24"/>
              </w:rPr>
              <w:t>4.</w:t>
            </w:r>
            <w:r w:rsidR="003F7B20">
              <w:rPr>
                <w:b/>
                <w:sz w:val="24"/>
              </w:rPr>
              <w:t>6</w:t>
            </w:r>
            <w:r>
              <w:rPr>
                <w:b/>
                <w:sz w:val="24"/>
              </w:rPr>
              <w:tab/>
            </w:r>
            <w:r w:rsidR="0057119C" w:rsidRPr="008376C3">
              <w:rPr>
                <w:b/>
                <w:sz w:val="24"/>
              </w:rPr>
              <w:t>Clinical Governance</w:t>
            </w:r>
          </w:p>
          <w:p w14:paraId="137B2285" w14:textId="15BB7766" w:rsidR="00767C87" w:rsidRPr="00767C87" w:rsidRDefault="00767C87" w:rsidP="00767C87">
            <w:pPr>
              <w:pStyle w:val="TableParagraph"/>
              <w:ind w:left="113" w:right="108"/>
              <w:jc w:val="both"/>
              <w:rPr>
                <w:sz w:val="24"/>
              </w:rPr>
            </w:pPr>
            <w:r w:rsidRPr="00767C87">
              <w:rPr>
                <w:sz w:val="24"/>
              </w:rPr>
              <w:t xml:space="preserve">The service provider will be responsible for establishing robust internal clinical governance structure with an </w:t>
            </w:r>
            <w:r w:rsidR="0034650A" w:rsidRPr="00767C87">
              <w:rPr>
                <w:sz w:val="24"/>
              </w:rPr>
              <w:t>internal Clinical</w:t>
            </w:r>
            <w:r w:rsidRPr="00767C87">
              <w:rPr>
                <w:sz w:val="24"/>
              </w:rPr>
              <w:t xml:space="preserve"> Governance Lead who is responsible for assuring the </w:t>
            </w:r>
            <w:r w:rsidR="0047073C" w:rsidRPr="00767C87">
              <w:rPr>
                <w:sz w:val="24"/>
              </w:rPr>
              <w:t>clinical quality</w:t>
            </w:r>
            <w:r w:rsidRPr="00767C87">
              <w:rPr>
                <w:sz w:val="24"/>
              </w:rPr>
              <w:t xml:space="preserve"> of the service and that it is supported by a suite of robust operational and clinical policies and procedures . This will include but not be limited to the following:</w:t>
            </w:r>
          </w:p>
          <w:p w14:paraId="601807E4" w14:textId="2FA66711" w:rsidR="00767C87" w:rsidRPr="00767C87" w:rsidRDefault="00767C87" w:rsidP="00767C87">
            <w:pPr>
              <w:pStyle w:val="TableParagraph"/>
              <w:numPr>
                <w:ilvl w:val="0"/>
                <w:numId w:val="27"/>
              </w:numPr>
              <w:ind w:right="108"/>
              <w:jc w:val="both"/>
              <w:rPr>
                <w:sz w:val="24"/>
              </w:rPr>
            </w:pPr>
            <w:r w:rsidRPr="00767C87">
              <w:rPr>
                <w:sz w:val="24"/>
              </w:rPr>
              <w:t xml:space="preserve">An </w:t>
            </w:r>
            <w:r w:rsidR="0034650A" w:rsidRPr="00767C87">
              <w:rPr>
                <w:sz w:val="24"/>
              </w:rPr>
              <w:t>appointed provider</w:t>
            </w:r>
            <w:r w:rsidRPr="00767C87">
              <w:rPr>
                <w:sz w:val="24"/>
              </w:rPr>
              <w:t xml:space="preserve"> Clinical Governance Lead;</w:t>
            </w:r>
          </w:p>
          <w:p w14:paraId="14F39883" w14:textId="52B55811" w:rsidR="00767C87" w:rsidRPr="00767C87" w:rsidRDefault="00767C87" w:rsidP="00767C87">
            <w:pPr>
              <w:pStyle w:val="TableParagraph"/>
              <w:numPr>
                <w:ilvl w:val="0"/>
                <w:numId w:val="27"/>
              </w:numPr>
              <w:ind w:right="108"/>
              <w:jc w:val="both"/>
              <w:rPr>
                <w:sz w:val="24"/>
              </w:rPr>
            </w:pPr>
            <w:r w:rsidRPr="00767C87">
              <w:rPr>
                <w:sz w:val="24"/>
              </w:rPr>
              <w:t xml:space="preserve">Development and implementation of internal </w:t>
            </w:r>
            <w:r w:rsidR="0034650A" w:rsidRPr="00767C87">
              <w:rPr>
                <w:sz w:val="24"/>
              </w:rPr>
              <w:t>provider Clinical</w:t>
            </w:r>
            <w:r w:rsidRPr="00767C87">
              <w:rPr>
                <w:sz w:val="24"/>
              </w:rPr>
              <w:t xml:space="preserve"> Governance policies.</w:t>
            </w:r>
          </w:p>
          <w:p w14:paraId="0C58DB9A" w14:textId="33940167" w:rsidR="0057119C" w:rsidRDefault="00767C87" w:rsidP="00767C87">
            <w:pPr>
              <w:pStyle w:val="TableParagraph"/>
              <w:numPr>
                <w:ilvl w:val="0"/>
                <w:numId w:val="27"/>
              </w:numPr>
              <w:ind w:right="108"/>
              <w:jc w:val="both"/>
              <w:rPr>
                <w:sz w:val="24"/>
              </w:rPr>
            </w:pPr>
            <w:r w:rsidRPr="00767C87">
              <w:rPr>
                <w:sz w:val="24"/>
              </w:rPr>
              <w:t>Adhering to applicable General and service con</w:t>
            </w:r>
            <w:r>
              <w:rPr>
                <w:sz w:val="24"/>
              </w:rPr>
              <w:t>ditions within the NHS contract</w:t>
            </w:r>
            <w:r w:rsidRPr="00767C87">
              <w:rPr>
                <w:sz w:val="24"/>
              </w:rPr>
              <w:t>.</w:t>
            </w:r>
          </w:p>
          <w:p w14:paraId="5006A881" w14:textId="77777777" w:rsidR="00767C87" w:rsidRPr="0057119C" w:rsidRDefault="00767C87" w:rsidP="00767C87">
            <w:pPr>
              <w:pStyle w:val="TableParagraph"/>
              <w:ind w:left="833" w:right="108"/>
              <w:jc w:val="both"/>
              <w:rPr>
                <w:sz w:val="24"/>
              </w:rPr>
            </w:pPr>
          </w:p>
          <w:p w14:paraId="47ED6242" w14:textId="09E3505E" w:rsidR="0057119C" w:rsidRPr="0057119C" w:rsidRDefault="00A04147" w:rsidP="003F7B20">
            <w:pPr>
              <w:pStyle w:val="TableParagraph"/>
              <w:ind w:left="113" w:right="108"/>
              <w:jc w:val="both"/>
              <w:rPr>
                <w:sz w:val="24"/>
              </w:rPr>
            </w:pPr>
            <w:r>
              <w:rPr>
                <w:b/>
                <w:sz w:val="24"/>
              </w:rPr>
              <w:t>4.</w:t>
            </w:r>
            <w:r w:rsidR="003F7B20">
              <w:rPr>
                <w:b/>
                <w:sz w:val="24"/>
              </w:rPr>
              <w:t>7</w:t>
            </w:r>
            <w:r>
              <w:rPr>
                <w:b/>
                <w:sz w:val="24"/>
              </w:rPr>
              <w:tab/>
            </w:r>
            <w:r w:rsidR="0057119C" w:rsidRPr="00A04147">
              <w:rPr>
                <w:b/>
                <w:sz w:val="24"/>
              </w:rPr>
              <w:t>Patient Transport</w:t>
            </w:r>
          </w:p>
          <w:p w14:paraId="79FCCF61" w14:textId="6220859C" w:rsidR="000369A6" w:rsidRDefault="0057119C" w:rsidP="00E379B6">
            <w:pPr>
              <w:pStyle w:val="TableParagraph"/>
              <w:ind w:left="113" w:right="108"/>
              <w:jc w:val="both"/>
              <w:rPr>
                <w:sz w:val="24"/>
              </w:rPr>
            </w:pPr>
            <w:r w:rsidRPr="0057119C">
              <w:rPr>
                <w:sz w:val="24"/>
              </w:rPr>
              <w:t>Patient transport arrangements do not form part of this service specification. Patients will be expected to make their own transport arrangements. Those patients who are entitled to assistance with transport under existing NHS arrangements will be able to access this through their GP Practice as per local arrangements.</w:t>
            </w:r>
          </w:p>
        </w:tc>
      </w:tr>
    </w:tbl>
    <w:p w14:paraId="45DABEFF" w14:textId="4C99B051" w:rsidR="000369A6" w:rsidRDefault="000369A6">
      <w:pPr>
        <w:pStyle w:val="BodyText"/>
        <w:spacing w:before="8"/>
        <w:rPr>
          <w:rFonts w:ascii="Times New Roman"/>
          <w:sz w:val="25"/>
        </w:rPr>
      </w:pPr>
    </w:p>
    <w:p w14:paraId="3F0DEA58" w14:textId="77777777" w:rsidR="00572FBB" w:rsidRDefault="00572FBB">
      <w:pPr>
        <w:pStyle w:val="BodyText"/>
        <w:spacing w:before="8"/>
        <w:rPr>
          <w:rFonts w:ascii="Times New Roman"/>
          <w:sz w:val="25"/>
        </w:rPr>
      </w:pPr>
    </w:p>
    <w:tbl>
      <w:tblPr>
        <w:tblW w:w="981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9813"/>
      </w:tblGrid>
      <w:tr w:rsidR="000369A6" w14:paraId="6DAB3556" w14:textId="77777777" w:rsidTr="003F6420">
        <w:trPr>
          <w:trHeight w:hRule="exact" w:val="326"/>
        </w:trPr>
        <w:tc>
          <w:tcPr>
            <w:tcW w:w="9813" w:type="dxa"/>
            <w:shd w:val="clear" w:color="auto" w:fill="585858"/>
          </w:tcPr>
          <w:p w14:paraId="11AE7AD7" w14:textId="77777777" w:rsidR="000369A6" w:rsidRDefault="007A4E59">
            <w:pPr>
              <w:pStyle w:val="TableParagraph"/>
              <w:tabs>
                <w:tab w:val="left" w:pos="823"/>
              </w:tabs>
              <w:spacing w:line="274" w:lineRule="exact"/>
              <w:ind w:left="103"/>
              <w:rPr>
                <w:b/>
                <w:sz w:val="24"/>
              </w:rPr>
            </w:pPr>
            <w:r>
              <w:rPr>
                <w:b/>
                <w:color w:val="F79546"/>
                <w:sz w:val="24"/>
              </w:rPr>
              <w:t>5.</w:t>
            </w:r>
            <w:r>
              <w:rPr>
                <w:b/>
                <w:color w:val="F79546"/>
                <w:sz w:val="24"/>
              </w:rPr>
              <w:tab/>
              <w:t>Applicable quality requirements and CQUIN</w:t>
            </w:r>
            <w:r>
              <w:rPr>
                <w:b/>
                <w:color w:val="F79546"/>
                <w:spacing w:val="-14"/>
                <w:sz w:val="24"/>
              </w:rPr>
              <w:t xml:space="preserve"> </w:t>
            </w:r>
            <w:r>
              <w:rPr>
                <w:b/>
                <w:color w:val="F79546"/>
                <w:sz w:val="24"/>
              </w:rPr>
              <w:t>goals</w:t>
            </w:r>
          </w:p>
        </w:tc>
      </w:tr>
      <w:tr w:rsidR="000369A6" w14:paraId="15A66135" w14:textId="77777777" w:rsidTr="003F6420">
        <w:tc>
          <w:tcPr>
            <w:tcW w:w="9813" w:type="dxa"/>
          </w:tcPr>
          <w:p w14:paraId="5C2A1D06" w14:textId="77777777" w:rsidR="000369A6" w:rsidRPr="006B002E" w:rsidRDefault="000369A6">
            <w:pPr>
              <w:pStyle w:val="TableParagraph"/>
              <w:spacing w:before="7"/>
              <w:rPr>
                <w:rFonts w:ascii="Times New Roman"/>
                <w:sz w:val="23"/>
              </w:rPr>
            </w:pPr>
          </w:p>
          <w:p w14:paraId="347E5719" w14:textId="31D7242F" w:rsidR="000369A6" w:rsidRDefault="007A4E59">
            <w:pPr>
              <w:pStyle w:val="TableParagraph"/>
              <w:tabs>
                <w:tab w:val="left" w:pos="847"/>
              </w:tabs>
              <w:ind w:left="103"/>
              <w:rPr>
                <w:b/>
                <w:sz w:val="24"/>
              </w:rPr>
            </w:pPr>
            <w:r w:rsidRPr="006B002E">
              <w:rPr>
                <w:b/>
                <w:sz w:val="24"/>
              </w:rPr>
              <w:t>5.1</w:t>
            </w:r>
            <w:r w:rsidRPr="006B002E">
              <w:rPr>
                <w:b/>
                <w:sz w:val="24"/>
              </w:rPr>
              <w:tab/>
              <w:t xml:space="preserve">Applicable quality requirements </w:t>
            </w:r>
          </w:p>
          <w:p w14:paraId="2593FFBC" w14:textId="2128D8E8" w:rsidR="003B49E2" w:rsidRPr="003B49E2" w:rsidRDefault="003B49E2">
            <w:pPr>
              <w:pStyle w:val="TableParagraph"/>
              <w:tabs>
                <w:tab w:val="left" w:pos="847"/>
              </w:tabs>
              <w:ind w:left="103"/>
              <w:rPr>
                <w:sz w:val="24"/>
              </w:rPr>
            </w:pPr>
            <w:r>
              <w:rPr>
                <w:sz w:val="24"/>
              </w:rPr>
              <w:t xml:space="preserve">National quality requirements in line with Schedule 4 parts A-D of standard NHS contract </w:t>
            </w:r>
          </w:p>
          <w:p w14:paraId="0E144FD7" w14:textId="61EB0C69" w:rsidR="006B002E" w:rsidRDefault="006B002E">
            <w:pPr>
              <w:pStyle w:val="TableParagraph"/>
              <w:tabs>
                <w:tab w:val="left" w:pos="847"/>
              </w:tabs>
              <w:ind w:left="103"/>
              <w:rPr>
                <w:b/>
                <w:sz w:val="24"/>
              </w:rPr>
            </w:pPr>
          </w:p>
          <w:p w14:paraId="114807A4" w14:textId="77777777" w:rsidR="00E379B6" w:rsidRPr="006B002E" w:rsidRDefault="00E379B6">
            <w:pPr>
              <w:pStyle w:val="TableParagraph"/>
              <w:tabs>
                <w:tab w:val="left" w:pos="847"/>
              </w:tabs>
              <w:ind w:left="103"/>
              <w:rPr>
                <w:b/>
                <w:sz w:val="24"/>
              </w:rPr>
            </w:pPr>
          </w:p>
          <w:p w14:paraId="6DE03A10" w14:textId="7C446BA1" w:rsidR="006B002E" w:rsidRDefault="006B002E" w:rsidP="006B002E">
            <w:pPr>
              <w:pStyle w:val="TableParagraph"/>
              <w:tabs>
                <w:tab w:val="left" w:pos="847"/>
              </w:tabs>
              <w:ind w:left="103"/>
              <w:rPr>
                <w:b/>
                <w:sz w:val="24"/>
              </w:rPr>
            </w:pPr>
            <w:r w:rsidRPr="006B002E">
              <w:rPr>
                <w:b/>
                <w:sz w:val="24"/>
              </w:rPr>
              <w:t>5.2</w:t>
            </w:r>
            <w:r w:rsidRPr="006B002E">
              <w:rPr>
                <w:b/>
                <w:sz w:val="24"/>
              </w:rPr>
              <w:tab/>
              <w:t xml:space="preserve">Applicable CQUIN goals </w:t>
            </w:r>
          </w:p>
          <w:p w14:paraId="3C840F50" w14:textId="31E13F8B" w:rsidR="00312568" w:rsidRDefault="00312568" w:rsidP="006B002E">
            <w:pPr>
              <w:pStyle w:val="TableParagraph"/>
              <w:tabs>
                <w:tab w:val="left" w:pos="847"/>
              </w:tabs>
              <w:ind w:left="103"/>
              <w:rPr>
                <w:b/>
                <w:sz w:val="24"/>
              </w:rPr>
            </w:pPr>
          </w:p>
          <w:p w14:paraId="797A2222" w14:textId="77777777" w:rsidR="006B002E" w:rsidRDefault="00312568" w:rsidP="00A3002F">
            <w:pPr>
              <w:pStyle w:val="TableParagraph"/>
              <w:tabs>
                <w:tab w:val="left" w:pos="847"/>
              </w:tabs>
              <w:ind w:left="103"/>
              <w:rPr>
                <w:sz w:val="24"/>
              </w:rPr>
            </w:pPr>
            <w:r>
              <w:rPr>
                <w:sz w:val="24"/>
              </w:rPr>
              <w:t>There are no CQUINS for this service</w:t>
            </w:r>
          </w:p>
          <w:p w14:paraId="56A867E3" w14:textId="1359DCD9" w:rsidR="00E379B6" w:rsidRDefault="00E379B6" w:rsidP="00A3002F">
            <w:pPr>
              <w:pStyle w:val="TableParagraph"/>
              <w:tabs>
                <w:tab w:val="left" w:pos="847"/>
              </w:tabs>
              <w:ind w:left="103"/>
              <w:rPr>
                <w:b/>
                <w:sz w:val="24"/>
              </w:rPr>
            </w:pPr>
          </w:p>
        </w:tc>
      </w:tr>
      <w:tr w:rsidR="000369A6" w14:paraId="235907FD" w14:textId="77777777" w:rsidTr="003F6420">
        <w:trPr>
          <w:trHeight w:hRule="exact" w:val="326"/>
        </w:trPr>
        <w:tc>
          <w:tcPr>
            <w:tcW w:w="9813" w:type="dxa"/>
            <w:shd w:val="clear" w:color="auto" w:fill="585858"/>
          </w:tcPr>
          <w:p w14:paraId="1EBBBD47" w14:textId="77777777" w:rsidR="000369A6" w:rsidRDefault="007A4E59">
            <w:pPr>
              <w:pStyle w:val="TableParagraph"/>
              <w:tabs>
                <w:tab w:val="left" w:pos="823"/>
              </w:tabs>
              <w:spacing w:line="274" w:lineRule="exact"/>
              <w:ind w:left="103"/>
              <w:rPr>
                <w:b/>
                <w:sz w:val="24"/>
              </w:rPr>
            </w:pPr>
            <w:r>
              <w:rPr>
                <w:b/>
                <w:color w:val="F79546"/>
                <w:sz w:val="24"/>
              </w:rPr>
              <w:t>6.</w:t>
            </w:r>
            <w:r>
              <w:rPr>
                <w:b/>
                <w:color w:val="F79546"/>
                <w:sz w:val="24"/>
              </w:rPr>
              <w:tab/>
              <w:t>Location of Provider</w:t>
            </w:r>
            <w:r>
              <w:rPr>
                <w:b/>
                <w:color w:val="F79546"/>
                <w:spacing w:val="-5"/>
                <w:sz w:val="24"/>
              </w:rPr>
              <w:t xml:space="preserve"> </w:t>
            </w:r>
            <w:r>
              <w:rPr>
                <w:b/>
                <w:color w:val="F79546"/>
                <w:sz w:val="24"/>
              </w:rPr>
              <w:t>Premises</w:t>
            </w:r>
          </w:p>
        </w:tc>
      </w:tr>
      <w:tr w:rsidR="000369A6" w14:paraId="76EBE80C" w14:textId="77777777" w:rsidTr="003F6420">
        <w:trPr>
          <w:trHeight w:hRule="exact" w:val="840"/>
        </w:trPr>
        <w:tc>
          <w:tcPr>
            <w:tcW w:w="9813" w:type="dxa"/>
          </w:tcPr>
          <w:p w14:paraId="299446EC" w14:textId="77777777" w:rsidR="000369A6" w:rsidRDefault="000369A6">
            <w:pPr>
              <w:pStyle w:val="TableParagraph"/>
              <w:spacing w:before="9"/>
              <w:rPr>
                <w:rFonts w:ascii="Times New Roman"/>
                <w:sz w:val="23"/>
              </w:rPr>
            </w:pPr>
          </w:p>
          <w:p w14:paraId="38718AF0" w14:textId="4468653B" w:rsidR="000369A6" w:rsidRDefault="007A4E59">
            <w:pPr>
              <w:pStyle w:val="TableParagraph"/>
              <w:ind w:left="103"/>
              <w:rPr>
                <w:sz w:val="24"/>
              </w:rPr>
            </w:pPr>
            <w:r>
              <w:rPr>
                <w:sz w:val="24"/>
              </w:rPr>
              <w:t>Within the GP practice or other appropriate room</w:t>
            </w:r>
            <w:r w:rsidR="00CA3192">
              <w:rPr>
                <w:sz w:val="24"/>
              </w:rPr>
              <w:t xml:space="preserve"> in the Primary Care Network area. </w:t>
            </w:r>
          </w:p>
        </w:tc>
      </w:tr>
      <w:tr w:rsidR="000369A6" w14:paraId="170B4D7F" w14:textId="77777777" w:rsidTr="003F6420">
        <w:trPr>
          <w:trHeight w:hRule="exact" w:val="328"/>
        </w:trPr>
        <w:tc>
          <w:tcPr>
            <w:tcW w:w="9813" w:type="dxa"/>
            <w:shd w:val="clear" w:color="auto" w:fill="585858"/>
          </w:tcPr>
          <w:p w14:paraId="4D6AD8C8" w14:textId="1AC4C441" w:rsidR="000369A6" w:rsidRDefault="001F63E4">
            <w:pPr>
              <w:pStyle w:val="TableParagraph"/>
              <w:spacing w:line="275" w:lineRule="exact"/>
              <w:ind w:left="103"/>
              <w:rPr>
                <w:b/>
                <w:sz w:val="24"/>
              </w:rPr>
            </w:pPr>
            <w:r>
              <w:rPr>
                <w:b/>
                <w:color w:val="E26C09"/>
                <w:sz w:val="24"/>
              </w:rPr>
              <w:t>7</w:t>
            </w:r>
            <w:r w:rsidR="007A4E59">
              <w:rPr>
                <w:b/>
                <w:color w:val="E26C09"/>
                <w:sz w:val="24"/>
              </w:rPr>
              <w:t>. Payment</w:t>
            </w:r>
          </w:p>
        </w:tc>
      </w:tr>
      <w:tr w:rsidR="001F63E4" w14:paraId="5CD4F6D1" w14:textId="77777777" w:rsidTr="003F6420">
        <w:tc>
          <w:tcPr>
            <w:tcW w:w="9813" w:type="dxa"/>
            <w:shd w:val="clear" w:color="auto" w:fill="auto"/>
          </w:tcPr>
          <w:p w14:paraId="0AE4C427" w14:textId="6FF8C0D7" w:rsidR="00DF0298" w:rsidRPr="00810627" w:rsidRDefault="00810627" w:rsidP="00517F78">
            <w:pPr>
              <w:pStyle w:val="TableParagraph"/>
              <w:spacing w:line="275" w:lineRule="exact"/>
              <w:ind w:left="103"/>
              <w:jc w:val="both"/>
              <w:rPr>
                <w:sz w:val="28"/>
              </w:rPr>
            </w:pPr>
            <w:r w:rsidRPr="00810627">
              <w:rPr>
                <w:color w:val="000000"/>
                <w:sz w:val="24"/>
              </w:rPr>
              <w:t>The Safe Prescribing of Medicines LCS will be run as</w:t>
            </w:r>
            <w:r>
              <w:rPr>
                <w:color w:val="000000"/>
                <w:sz w:val="24"/>
              </w:rPr>
              <w:t xml:space="preserve"> a shadow scheme</w:t>
            </w:r>
            <w:r w:rsidRPr="00810627">
              <w:rPr>
                <w:color w:val="000000"/>
                <w:sz w:val="24"/>
              </w:rPr>
              <w:t xml:space="preserve"> in year from 1</w:t>
            </w:r>
            <w:r w:rsidRPr="00810627">
              <w:rPr>
                <w:color w:val="000000"/>
                <w:sz w:val="24"/>
                <w:vertAlign w:val="superscript"/>
              </w:rPr>
              <w:t>st</w:t>
            </w:r>
            <w:r w:rsidRPr="00810627">
              <w:rPr>
                <w:color w:val="000000"/>
                <w:sz w:val="24"/>
              </w:rPr>
              <w:t xml:space="preserve"> September 2020, with guaranteed income to practices at 2019/20 levels. </w:t>
            </w:r>
          </w:p>
          <w:p w14:paraId="0545D5D4" w14:textId="77777777" w:rsidR="00DF0298" w:rsidRDefault="00DF0298" w:rsidP="00517F78">
            <w:pPr>
              <w:pStyle w:val="TableParagraph"/>
              <w:spacing w:line="275" w:lineRule="exact"/>
              <w:ind w:left="103"/>
              <w:jc w:val="both"/>
              <w:rPr>
                <w:sz w:val="24"/>
              </w:rPr>
            </w:pPr>
          </w:p>
          <w:p w14:paraId="2E28D39E" w14:textId="5D9FBBFE" w:rsidR="00517F78" w:rsidRDefault="00517F78" w:rsidP="00517F78">
            <w:pPr>
              <w:pStyle w:val="TableParagraph"/>
              <w:spacing w:line="275" w:lineRule="exact"/>
              <w:ind w:left="103"/>
              <w:jc w:val="both"/>
              <w:rPr>
                <w:sz w:val="24"/>
              </w:rPr>
            </w:pPr>
            <w:r>
              <w:rPr>
                <w:sz w:val="24"/>
              </w:rPr>
              <w:t xml:space="preserve">Fees under the contract will cover all costs associated with the service i.e. </w:t>
            </w:r>
            <w:r w:rsidR="005E38EE">
              <w:rPr>
                <w:sz w:val="24"/>
              </w:rPr>
              <w:t>s</w:t>
            </w:r>
            <w:r>
              <w:rPr>
                <w:sz w:val="24"/>
              </w:rPr>
              <w:t>trips, external/internal cali</w:t>
            </w:r>
            <w:r w:rsidR="00DB15F7">
              <w:rPr>
                <w:sz w:val="24"/>
              </w:rPr>
              <w:t>bration, software and hardware unless otherwise agreed.</w:t>
            </w:r>
          </w:p>
          <w:p w14:paraId="689B701C" w14:textId="77777777" w:rsidR="00517F78" w:rsidRDefault="00517F78" w:rsidP="0036335D">
            <w:pPr>
              <w:pStyle w:val="TableParagraph"/>
              <w:spacing w:line="274" w:lineRule="exact"/>
              <w:ind w:left="823"/>
              <w:rPr>
                <w:sz w:val="24"/>
              </w:rPr>
            </w:pPr>
          </w:p>
          <w:p w14:paraId="6848FA50" w14:textId="77777777" w:rsidR="00810627" w:rsidRDefault="00810627" w:rsidP="0036335D">
            <w:pPr>
              <w:pStyle w:val="TableParagraph"/>
              <w:spacing w:line="274" w:lineRule="exact"/>
              <w:ind w:left="823"/>
              <w:rPr>
                <w:sz w:val="24"/>
              </w:rPr>
            </w:pPr>
          </w:p>
          <w:p w14:paraId="350AEE1E" w14:textId="77777777" w:rsidR="00810627" w:rsidRPr="00385CA9" w:rsidRDefault="00810627" w:rsidP="0036335D">
            <w:pPr>
              <w:pStyle w:val="TableParagraph"/>
              <w:spacing w:line="274" w:lineRule="exact"/>
              <w:ind w:left="823"/>
              <w:rPr>
                <w:sz w:val="24"/>
              </w:rPr>
            </w:pPr>
          </w:p>
          <w:p w14:paraId="1723CB36" w14:textId="32EC78BB" w:rsidR="00CB6A66" w:rsidRDefault="00A71FB7" w:rsidP="00CB6A66">
            <w:pPr>
              <w:pStyle w:val="TableParagraph"/>
              <w:spacing w:line="274" w:lineRule="exact"/>
              <w:ind w:left="102"/>
              <w:rPr>
                <w:sz w:val="24"/>
              </w:rPr>
            </w:pPr>
            <w:r>
              <w:rPr>
                <w:sz w:val="24"/>
              </w:rPr>
              <w:lastRenderedPageBreak/>
              <w:t xml:space="preserve">A list of the </w:t>
            </w:r>
            <w:r w:rsidR="005D304C">
              <w:rPr>
                <w:sz w:val="24"/>
              </w:rPr>
              <w:t>medicines included in this service is given in Appendix One</w:t>
            </w:r>
            <w:r w:rsidR="00CB6A66">
              <w:rPr>
                <w:sz w:val="24"/>
              </w:rPr>
              <w:t>. This list is subject to review throughout the year. New medicines with APC approved ESCA or prescribing information will be considered to</w:t>
            </w:r>
            <w:r w:rsidR="00CB6A66" w:rsidRPr="00E36163">
              <w:rPr>
                <w:sz w:val="24"/>
              </w:rPr>
              <w:t xml:space="preserve"> determine whether </w:t>
            </w:r>
            <w:r w:rsidR="00CB6A66">
              <w:rPr>
                <w:sz w:val="24"/>
              </w:rPr>
              <w:t>they</w:t>
            </w:r>
            <w:r w:rsidR="00CB6A66" w:rsidRPr="00E36163">
              <w:rPr>
                <w:sz w:val="24"/>
              </w:rPr>
              <w:t xml:space="preserve"> should be added or removed from the agreed list.</w:t>
            </w:r>
            <w:r w:rsidR="00CB6A66">
              <w:rPr>
                <w:sz w:val="24"/>
              </w:rPr>
              <w:t xml:space="preserve"> For new medicines with significant workload or commissioning implications that warrant additional investment in Primary Care or new commissioning arrangements over and above the allocated funding for this scheme, these will be reviewed via the CCG’s commissioning processes and the Local Medical Council (LMC) will be consulted prior to their inclusion. </w:t>
            </w:r>
          </w:p>
          <w:p w14:paraId="06BB5C6A" w14:textId="5923928A" w:rsidR="00385CA9" w:rsidRPr="00466019" w:rsidRDefault="00DD2347" w:rsidP="00466019">
            <w:pPr>
              <w:pStyle w:val="TableParagraph"/>
              <w:spacing w:line="274" w:lineRule="exact"/>
              <w:ind w:left="102"/>
              <w:jc w:val="both"/>
              <w:rPr>
                <w:sz w:val="24"/>
              </w:rPr>
            </w:pPr>
            <w:r w:rsidRPr="00E36163">
              <w:rPr>
                <w:sz w:val="24"/>
              </w:rPr>
              <w:t>When assessing the appropriate level of fundin</w:t>
            </w:r>
            <w:r w:rsidR="00FD1C88">
              <w:rPr>
                <w:sz w:val="24"/>
              </w:rPr>
              <w:t xml:space="preserve">g the CCG </w:t>
            </w:r>
            <w:r w:rsidRPr="00E36163">
              <w:rPr>
                <w:sz w:val="24"/>
              </w:rPr>
              <w:t xml:space="preserve">will benchmark against existing medicines, considering the type of monitoring required and the frequency.  Prescribing of </w:t>
            </w:r>
            <w:r w:rsidR="00E36163" w:rsidRPr="00E36163">
              <w:rPr>
                <w:sz w:val="24"/>
              </w:rPr>
              <w:t xml:space="preserve">agreed </w:t>
            </w:r>
            <w:r w:rsidRPr="00E36163">
              <w:rPr>
                <w:sz w:val="24"/>
              </w:rPr>
              <w:t xml:space="preserve">new medicines will be expected in primary care and the scheme will be assessed </w:t>
            </w:r>
            <w:r w:rsidR="00FD1C88">
              <w:rPr>
                <w:sz w:val="24"/>
              </w:rPr>
              <w:t>in year</w:t>
            </w:r>
            <w:r w:rsidR="00C9436F">
              <w:rPr>
                <w:sz w:val="24"/>
              </w:rPr>
              <w:t xml:space="preserve"> to</w:t>
            </w:r>
            <w:r w:rsidRPr="00E36163">
              <w:rPr>
                <w:sz w:val="24"/>
              </w:rPr>
              <w:t xml:space="preserve"> determine whether any medicines should be added or removed from the agreed list. </w:t>
            </w:r>
          </w:p>
        </w:tc>
      </w:tr>
      <w:tr w:rsidR="000369A6" w14:paraId="64ADA289" w14:textId="77777777" w:rsidTr="003F6420">
        <w:trPr>
          <w:trHeight w:hRule="exact" w:val="326"/>
        </w:trPr>
        <w:tc>
          <w:tcPr>
            <w:tcW w:w="9813" w:type="dxa"/>
            <w:shd w:val="clear" w:color="auto" w:fill="585858"/>
          </w:tcPr>
          <w:p w14:paraId="5B3A3FC7" w14:textId="196DA363" w:rsidR="000369A6" w:rsidRDefault="007A4E59">
            <w:pPr>
              <w:pStyle w:val="TableParagraph"/>
              <w:spacing w:line="274" w:lineRule="exact"/>
              <w:ind w:left="103"/>
              <w:rPr>
                <w:b/>
                <w:sz w:val="24"/>
              </w:rPr>
            </w:pPr>
            <w:r>
              <w:rPr>
                <w:b/>
                <w:color w:val="E26C09"/>
                <w:sz w:val="24"/>
              </w:rPr>
              <w:lastRenderedPageBreak/>
              <w:t>9. Key Performance Indicators</w:t>
            </w:r>
            <w:r w:rsidR="0065564A">
              <w:rPr>
                <w:b/>
                <w:color w:val="E26C09"/>
                <w:sz w:val="24"/>
              </w:rPr>
              <w:t xml:space="preserve"> and Quality Requirements </w:t>
            </w:r>
          </w:p>
        </w:tc>
      </w:tr>
      <w:tr w:rsidR="000369A6" w14:paraId="2D6D2368" w14:textId="77777777" w:rsidTr="00313F20">
        <w:trPr>
          <w:trHeight w:val="1837"/>
        </w:trPr>
        <w:tc>
          <w:tcPr>
            <w:tcW w:w="9813" w:type="dxa"/>
          </w:tcPr>
          <w:p w14:paraId="5B25A156" w14:textId="6254674F" w:rsidR="00690A56" w:rsidRDefault="00690A56">
            <w:pPr>
              <w:pStyle w:val="TableParagraph"/>
              <w:ind w:left="103" w:right="102"/>
              <w:jc w:val="both"/>
              <w:rPr>
                <w:b/>
                <w:sz w:val="24"/>
              </w:rPr>
            </w:pPr>
            <w:r>
              <w:rPr>
                <w:b/>
                <w:sz w:val="24"/>
              </w:rPr>
              <w:t>9.1 Key performance indicators</w:t>
            </w:r>
          </w:p>
          <w:p w14:paraId="7C9B79E1" w14:textId="77777777" w:rsidR="005E38EE" w:rsidRDefault="005E38EE">
            <w:pPr>
              <w:pStyle w:val="TableParagraph"/>
              <w:ind w:left="103" w:right="102"/>
              <w:jc w:val="both"/>
              <w:rPr>
                <w:sz w:val="24"/>
              </w:rPr>
            </w:pPr>
          </w:p>
          <w:p w14:paraId="5B0C25F4" w14:textId="370A3D33" w:rsidR="005E38EE" w:rsidRDefault="005E38EE">
            <w:pPr>
              <w:pStyle w:val="TableParagraph"/>
              <w:ind w:left="103" w:right="102"/>
              <w:jc w:val="both"/>
              <w:rPr>
                <w:sz w:val="24"/>
              </w:rPr>
            </w:pPr>
            <w:r>
              <w:rPr>
                <w:sz w:val="24"/>
              </w:rPr>
              <w:t xml:space="preserve">For each of the </w:t>
            </w:r>
            <w:r w:rsidR="003F7B20">
              <w:rPr>
                <w:sz w:val="24"/>
              </w:rPr>
              <w:t>measures</w:t>
            </w:r>
            <w:r>
              <w:rPr>
                <w:sz w:val="24"/>
              </w:rPr>
              <w:t xml:space="preserve"> providers will be expected to report </w:t>
            </w:r>
            <w:r w:rsidRPr="003F7B20">
              <w:rPr>
                <w:sz w:val="24"/>
              </w:rPr>
              <w:t>quarterly</w:t>
            </w: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312"/>
              <w:gridCol w:w="3667"/>
              <w:gridCol w:w="2679"/>
            </w:tblGrid>
            <w:tr w:rsidR="00CA64BF" w:rsidRPr="005122B6" w14:paraId="02A73B3B" w14:textId="16C1D144" w:rsidTr="0095029B">
              <w:trPr>
                <w:trHeight w:hRule="exact" w:val="473"/>
              </w:trPr>
              <w:tc>
                <w:tcPr>
                  <w:tcW w:w="0" w:type="auto"/>
                  <w:shd w:val="clear" w:color="auto" w:fill="00CCFF"/>
                </w:tcPr>
                <w:p w14:paraId="439010AA" w14:textId="77777777" w:rsidR="00BE7BCD" w:rsidRPr="00BE7BCD" w:rsidRDefault="00BE7BCD" w:rsidP="00BE7BCD">
                  <w:pPr>
                    <w:pStyle w:val="TableParagraph"/>
                    <w:ind w:left="103" w:right="102"/>
                    <w:rPr>
                      <w:b/>
                      <w:sz w:val="20"/>
                    </w:rPr>
                  </w:pPr>
                  <w:r w:rsidRPr="00BE7BCD">
                    <w:rPr>
                      <w:b/>
                      <w:sz w:val="20"/>
                    </w:rPr>
                    <w:t>Key Performance Indicators</w:t>
                  </w:r>
                </w:p>
              </w:tc>
              <w:tc>
                <w:tcPr>
                  <w:tcW w:w="0" w:type="auto"/>
                  <w:shd w:val="clear" w:color="auto" w:fill="00CCFF"/>
                </w:tcPr>
                <w:p w14:paraId="08DC3343" w14:textId="77777777" w:rsidR="00BE7BCD" w:rsidRPr="00BE7BCD" w:rsidRDefault="00BE7BCD" w:rsidP="005122B6">
                  <w:pPr>
                    <w:pStyle w:val="TableParagraph"/>
                    <w:ind w:left="103" w:right="102"/>
                    <w:jc w:val="both"/>
                    <w:rPr>
                      <w:b/>
                      <w:sz w:val="20"/>
                    </w:rPr>
                  </w:pPr>
                  <w:r w:rsidRPr="00BE7BCD">
                    <w:rPr>
                      <w:b/>
                      <w:sz w:val="20"/>
                    </w:rPr>
                    <w:t>Description</w:t>
                  </w:r>
                </w:p>
              </w:tc>
              <w:tc>
                <w:tcPr>
                  <w:tcW w:w="0" w:type="auto"/>
                  <w:shd w:val="clear" w:color="auto" w:fill="00CCFF"/>
                </w:tcPr>
                <w:p w14:paraId="2485DA9F" w14:textId="03B32F50" w:rsidR="00BE7BCD" w:rsidRPr="00BE7BCD" w:rsidRDefault="00BE7BCD" w:rsidP="005122B6">
                  <w:pPr>
                    <w:pStyle w:val="TableParagraph"/>
                    <w:ind w:left="103" w:right="102"/>
                    <w:jc w:val="both"/>
                    <w:rPr>
                      <w:b/>
                      <w:sz w:val="20"/>
                    </w:rPr>
                  </w:pPr>
                  <w:r>
                    <w:rPr>
                      <w:b/>
                      <w:sz w:val="20"/>
                    </w:rPr>
                    <w:t>CCG Monitoring</w:t>
                  </w:r>
                </w:p>
              </w:tc>
            </w:tr>
            <w:tr w:rsidR="00CA64BF" w:rsidRPr="005122B6" w14:paraId="6F4FD8BA" w14:textId="3E20D317" w:rsidTr="00E46AF4">
              <w:trPr>
                <w:trHeight w:hRule="exact" w:val="2172"/>
              </w:trPr>
              <w:tc>
                <w:tcPr>
                  <w:tcW w:w="0" w:type="auto"/>
                </w:tcPr>
                <w:p w14:paraId="6497E826" w14:textId="7553F8DF" w:rsidR="00BE7BCD" w:rsidRPr="00810627" w:rsidRDefault="00BE7BCD" w:rsidP="009425EE">
                  <w:pPr>
                    <w:pStyle w:val="TableParagraph"/>
                    <w:ind w:left="103" w:right="102"/>
                    <w:jc w:val="both"/>
                    <w:rPr>
                      <w:b/>
                      <w:sz w:val="20"/>
                    </w:rPr>
                  </w:pPr>
                  <w:r w:rsidRPr="00810627">
                    <w:rPr>
                      <w:b/>
                      <w:sz w:val="20"/>
                    </w:rPr>
                    <w:t xml:space="preserve">100% of </w:t>
                  </w:r>
                  <w:r w:rsidR="004A6B9F" w:rsidRPr="00810627">
                    <w:rPr>
                      <w:b/>
                      <w:sz w:val="20"/>
                    </w:rPr>
                    <w:t>medicines safety</w:t>
                  </w:r>
                  <w:r w:rsidRPr="00810627">
                    <w:rPr>
                      <w:b/>
                      <w:sz w:val="20"/>
                    </w:rPr>
                    <w:t xml:space="preserve"> incidents</w:t>
                  </w:r>
                  <w:r w:rsidR="004A6B9F" w:rsidRPr="00810627">
                    <w:rPr>
                      <w:b/>
                      <w:sz w:val="20"/>
                    </w:rPr>
                    <w:t xml:space="preserve"> should be reported via </w:t>
                  </w:r>
                  <w:r w:rsidR="009425EE" w:rsidRPr="00810627">
                    <w:rPr>
                      <w:b/>
                      <w:sz w:val="20"/>
                    </w:rPr>
                    <w:t>Ulyses</w:t>
                  </w:r>
                  <w:r w:rsidR="004A6B9F" w:rsidRPr="00810627">
                    <w:rPr>
                      <w:b/>
                      <w:sz w:val="20"/>
                    </w:rPr>
                    <w:t xml:space="preserve">. Incidents meeting the </w:t>
                  </w:r>
                  <w:r w:rsidRPr="00810627">
                    <w:rPr>
                      <w:b/>
                      <w:sz w:val="20"/>
                    </w:rPr>
                    <w:t>S</w:t>
                  </w:r>
                  <w:r w:rsidR="004A6B9F" w:rsidRPr="00810627">
                    <w:rPr>
                      <w:b/>
                      <w:sz w:val="20"/>
                    </w:rPr>
                    <w:t xml:space="preserve">erious </w:t>
                  </w:r>
                  <w:r w:rsidRPr="00810627">
                    <w:rPr>
                      <w:b/>
                      <w:sz w:val="20"/>
                    </w:rPr>
                    <w:t>I</w:t>
                  </w:r>
                  <w:r w:rsidR="004A6B9F" w:rsidRPr="00810627">
                    <w:rPr>
                      <w:b/>
                      <w:sz w:val="20"/>
                    </w:rPr>
                    <w:t>ncident</w:t>
                  </w:r>
                  <w:r w:rsidRPr="00810627">
                    <w:rPr>
                      <w:b/>
                      <w:sz w:val="20"/>
                    </w:rPr>
                    <w:t xml:space="preserve"> criteria </w:t>
                  </w:r>
                  <w:r w:rsidR="004A6B9F" w:rsidRPr="00810627">
                    <w:rPr>
                      <w:b/>
                      <w:sz w:val="20"/>
                    </w:rPr>
                    <w:t>must be</w:t>
                  </w:r>
                  <w:r w:rsidRPr="00810627">
                    <w:rPr>
                      <w:b/>
                      <w:sz w:val="20"/>
                    </w:rPr>
                    <w:t xml:space="preserve"> reported to the CCGs within 2 working days.</w:t>
                  </w:r>
                </w:p>
              </w:tc>
              <w:tc>
                <w:tcPr>
                  <w:tcW w:w="0" w:type="auto"/>
                </w:tcPr>
                <w:p w14:paraId="531998D4" w14:textId="2746D1ED" w:rsidR="00616DC4" w:rsidRPr="00810627" w:rsidRDefault="00616DC4" w:rsidP="005122B6">
                  <w:pPr>
                    <w:pStyle w:val="TableParagraph"/>
                    <w:ind w:left="103" w:right="102"/>
                    <w:jc w:val="both"/>
                    <w:rPr>
                      <w:sz w:val="20"/>
                    </w:rPr>
                  </w:pPr>
                  <w:r w:rsidRPr="00810627">
                    <w:rPr>
                      <w:sz w:val="20"/>
                    </w:rPr>
                    <w:t xml:space="preserve">The provider actively uses the </w:t>
                  </w:r>
                  <w:r w:rsidR="009425EE" w:rsidRPr="00810627">
                    <w:rPr>
                      <w:sz w:val="20"/>
                    </w:rPr>
                    <w:t>Ulyses</w:t>
                  </w:r>
                  <w:r w:rsidRPr="00810627">
                    <w:rPr>
                      <w:sz w:val="20"/>
                    </w:rPr>
                    <w:t xml:space="preserve"> system to report all medicines errors and near misses to enable learning across the whole health system.</w:t>
                  </w:r>
                </w:p>
                <w:p w14:paraId="32B1EFF8" w14:textId="317F8430" w:rsidR="00BE7BCD" w:rsidRPr="00810627" w:rsidRDefault="00BE7BCD" w:rsidP="009425EE">
                  <w:pPr>
                    <w:pStyle w:val="TableParagraph"/>
                    <w:ind w:left="103" w:right="102"/>
                    <w:jc w:val="both"/>
                    <w:rPr>
                      <w:sz w:val="20"/>
                    </w:rPr>
                  </w:pPr>
                  <w:r w:rsidRPr="00810627">
                    <w:rPr>
                      <w:sz w:val="20"/>
                    </w:rPr>
                    <w:t xml:space="preserve">The provider </w:t>
                  </w:r>
                  <w:r w:rsidR="009425EE" w:rsidRPr="00810627">
                    <w:rPr>
                      <w:sz w:val="20"/>
                    </w:rPr>
                    <w:t>should aim to report all</w:t>
                  </w:r>
                  <w:r w:rsidRPr="00810627">
                    <w:rPr>
                      <w:sz w:val="20"/>
                    </w:rPr>
                    <w:t xml:space="preserve"> serious incidents to the CCGs within 2 working days.</w:t>
                  </w:r>
                </w:p>
              </w:tc>
              <w:tc>
                <w:tcPr>
                  <w:tcW w:w="0" w:type="auto"/>
                </w:tcPr>
                <w:p w14:paraId="0C4EDE38" w14:textId="696E8EA2" w:rsidR="00BE7BCD" w:rsidRPr="00810627" w:rsidRDefault="00616DC4" w:rsidP="009425EE">
                  <w:pPr>
                    <w:pStyle w:val="TableParagraph"/>
                    <w:ind w:left="103" w:right="102"/>
                    <w:rPr>
                      <w:sz w:val="20"/>
                    </w:rPr>
                  </w:pPr>
                  <w:r w:rsidRPr="00810627">
                    <w:rPr>
                      <w:sz w:val="20"/>
                    </w:rPr>
                    <w:t xml:space="preserve">It is expected that all practices will have increased reporting rates. </w:t>
                  </w:r>
                  <w:r w:rsidR="009425EE" w:rsidRPr="00810627">
                    <w:rPr>
                      <w:sz w:val="20"/>
                    </w:rPr>
                    <w:t>Ulyses</w:t>
                  </w:r>
                  <w:r w:rsidRPr="00810627">
                    <w:rPr>
                      <w:sz w:val="20"/>
                    </w:rPr>
                    <w:t xml:space="preserve"> reporting rates will be monitored. Practices with unusually high or low reporting rates will be supported to review their systems. </w:t>
                  </w:r>
                </w:p>
              </w:tc>
            </w:tr>
            <w:tr w:rsidR="00CA64BF" w:rsidRPr="005122B6" w14:paraId="58FDF574" w14:textId="48AFBB0C" w:rsidTr="0082135C">
              <w:trPr>
                <w:trHeight w:hRule="exact" w:val="1278"/>
              </w:trPr>
              <w:tc>
                <w:tcPr>
                  <w:tcW w:w="0" w:type="auto"/>
                </w:tcPr>
                <w:p w14:paraId="0B1DAF0E" w14:textId="51E9383A" w:rsidR="00BE7BCD" w:rsidRPr="00810627" w:rsidRDefault="00BE7BCD" w:rsidP="00065971">
                  <w:pPr>
                    <w:pStyle w:val="TableParagraph"/>
                    <w:ind w:left="103" w:right="102"/>
                    <w:jc w:val="both"/>
                    <w:rPr>
                      <w:b/>
                      <w:sz w:val="20"/>
                    </w:rPr>
                  </w:pPr>
                  <w:r w:rsidRPr="00810627">
                    <w:rPr>
                      <w:b/>
                      <w:sz w:val="20"/>
                    </w:rPr>
                    <w:t>100% of patients on these drugs have the correct Read Code for the drug indication</w:t>
                  </w:r>
                </w:p>
              </w:tc>
              <w:tc>
                <w:tcPr>
                  <w:tcW w:w="0" w:type="auto"/>
                </w:tcPr>
                <w:p w14:paraId="0CD16AE1" w14:textId="3EC2EEC0" w:rsidR="00BE7BCD" w:rsidRPr="00810627" w:rsidRDefault="00BE7BCD" w:rsidP="00E46AF4">
                  <w:pPr>
                    <w:pStyle w:val="TableParagraph"/>
                    <w:ind w:left="103" w:right="102"/>
                    <w:jc w:val="both"/>
                    <w:rPr>
                      <w:sz w:val="20"/>
                    </w:rPr>
                  </w:pPr>
                  <w:r w:rsidRPr="00810627">
                    <w:rPr>
                      <w:sz w:val="20"/>
                    </w:rPr>
                    <w:t xml:space="preserve">The provider must </w:t>
                  </w:r>
                  <w:r w:rsidR="009425EE" w:rsidRPr="00810627">
                    <w:rPr>
                      <w:sz w:val="20"/>
                    </w:rPr>
                    <w:t>work to ensure</w:t>
                  </w:r>
                  <w:r w:rsidRPr="00810627">
                    <w:rPr>
                      <w:sz w:val="20"/>
                    </w:rPr>
                    <w:t xml:space="preserve"> that </w:t>
                  </w:r>
                  <w:r w:rsidR="009425EE" w:rsidRPr="00810627">
                    <w:rPr>
                      <w:sz w:val="20"/>
                    </w:rPr>
                    <w:t>all</w:t>
                  </w:r>
                  <w:r w:rsidRPr="00810627">
                    <w:rPr>
                      <w:sz w:val="20"/>
                    </w:rPr>
                    <w:t xml:space="preserve"> patients o</w:t>
                  </w:r>
                  <w:r w:rsidR="00E46AF4" w:rsidRPr="00810627">
                    <w:rPr>
                      <w:sz w:val="20"/>
                    </w:rPr>
                    <w:t>n these drugs have the correct r</w:t>
                  </w:r>
                  <w:r w:rsidRPr="00810627">
                    <w:rPr>
                      <w:sz w:val="20"/>
                    </w:rPr>
                    <w:t xml:space="preserve">ead </w:t>
                  </w:r>
                  <w:r w:rsidR="00E46AF4" w:rsidRPr="00810627">
                    <w:rPr>
                      <w:sz w:val="20"/>
                    </w:rPr>
                    <w:t>c</w:t>
                  </w:r>
                  <w:r w:rsidRPr="00810627">
                    <w:rPr>
                      <w:sz w:val="20"/>
                    </w:rPr>
                    <w:t>ode for the drug indication recorded on the patient’s clinical history.</w:t>
                  </w:r>
                </w:p>
              </w:tc>
              <w:tc>
                <w:tcPr>
                  <w:tcW w:w="0" w:type="auto"/>
                </w:tcPr>
                <w:p w14:paraId="18A797C0" w14:textId="6078A1BC" w:rsidR="00BE7BCD" w:rsidRPr="00810627" w:rsidRDefault="0055131F" w:rsidP="005122B6">
                  <w:pPr>
                    <w:pStyle w:val="TableParagraph"/>
                    <w:ind w:left="103" w:right="102"/>
                    <w:jc w:val="both"/>
                    <w:rPr>
                      <w:sz w:val="20"/>
                    </w:rPr>
                  </w:pPr>
                  <w:r w:rsidRPr="00810627">
                    <w:rPr>
                      <w:sz w:val="20"/>
                    </w:rPr>
                    <w:t>Quarterly EMIS searches</w:t>
                  </w:r>
                </w:p>
              </w:tc>
            </w:tr>
            <w:tr w:rsidR="00CA64BF" w:rsidRPr="005122B6" w14:paraId="3590A431" w14:textId="707552CD" w:rsidTr="0082135C">
              <w:trPr>
                <w:trHeight w:hRule="exact" w:val="2543"/>
              </w:trPr>
              <w:tc>
                <w:tcPr>
                  <w:tcW w:w="0" w:type="auto"/>
                </w:tcPr>
                <w:p w14:paraId="1E9FE808" w14:textId="36D6C415" w:rsidR="00BE7BCD" w:rsidRPr="00810627" w:rsidRDefault="00BE7BCD" w:rsidP="00244225">
                  <w:pPr>
                    <w:pStyle w:val="TableParagraph"/>
                    <w:ind w:left="103" w:right="102"/>
                    <w:jc w:val="both"/>
                    <w:rPr>
                      <w:b/>
                      <w:sz w:val="20"/>
                    </w:rPr>
                  </w:pPr>
                  <w:r w:rsidRPr="00810627">
                    <w:rPr>
                      <w:b/>
                      <w:sz w:val="20"/>
                    </w:rPr>
                    <w:t>90% of patients on these drugs have monitoring undertaken (as indicated within the appropriate guidelines) prior to issue of prescriptions.</w:t>
                  </w:r>
                </w:p>
              </w:tc>
              <w:tc>
                <w:tcPr>
                  <w:tcW w:w="0" w:type="auto"/>
                </w:tcPr>
                <w:p w14:paraId="77954BFA" w14:textId="090B0E99" w:rsidR="00BE7BCD" w:rsidRPr="00810627" w:rsidRDefault="00BE7BCD" w:rsidP="005122B6">
                  <w:pPr>
                    <w:pStyle w:val="TableParagraph"/>
                    <w:ind w:left="103" w:right="102"/>
                    <w:jc w:val="both"/>
                    <w:rPr>
                      <w:sz w:val="20"/>
                    </w:rPr>
                  </w:pPr>
                  <w:r w:rsidRPr="00810627">
                    <w:rPr>
                      <w:sz w:val="20"/>
                    </w:rPr>
                    <w:t>The provider must demonstrate that at least 90% of patients on these drugs have monitoring undertaken in accordance with the shared care guidelines and that prescriptions are issued following satisfactory results of monitoring.</w:t>
                  </w:r>
                </w:p>
              </w:tc>
              <w:tc>
                <w:tcPr>
                  <w:tcW w:w="0" w:type="auto"/>
                </w:tcPr>
                <w:p w14:paraId="29C95D63" w14:textId="77777777" w:rsidR="00BE7BCD" w:rsidRPr="00810627" w:rsidRDefault="00323830" w:rsidP="005434DE">
                  <w:pPr>
                    <w:pStyle w:val="TableParagraph"/>
                    <w:ind w:left="103" w:right="102"/>
                    <w:rPr>
                      <w:sz w:val="20"/>
                    </w:rPr>
                  </w:pPr>
                  <w:r w:rsidRPr="00810627">
                    <w:rPr>
                      <w:sz w:val="20"/>
                    </w:rPr>
                    <w:t>Quarterly EMIS searches</w:t>
                  </w:r>
                  <w:r w:rsidR="00D47DED" w:rsidRPr="00810627">
                    <w:rPr>
                      <w:sz w:val="20"/>
                    </w:rPr>
                    <w:t>, practice audit</w:t>
                  </w:r>
                  <w:r w:rsidR="00002509" w:rsidRPr="00810627">
                    <w:rPr>
                      <w:sz w:val="20"/>
                    </w:rPr>
                    <w:t xml:space="preserve"> (e.g.warfarin</w:t>
                  </w:r>
                  <w:r w:rsidR="00E34B0D" w:rsidRPr="00810627">
                    <w:rPr>
                      <w:sz w:val="20"/>
                    </w:rPr>
                    <w:t>- see CCG anticoagulation guidance</w:t>
                  </w:r>
                  <w:r w:rsidR="00002509" w:rsidRPr="00810627">
                    <w:rPr>
                      <w:sz w:val="20"/>
                    </w:rPr>
                    <w:t>)</w:t>
                  </w:r>
                  <w:r w:rsidR="00D47DED" w:rsidRPr="00810627">
                    <w:rPr>
                      <w:sz w:val="20"/>
                    </w:rPr>
                    <w:t>, PINCER and ECLIPSE data.</w:t>
                  </w:r>
                </w:p>
                <w:p w14:paraId="5FF66933" w14:textId="24DC4E1A" w:rsidR="009425EE" w:rsidRPr="00810627" w:rsidRDefault="00606222" w:rsidP="006636D7">
                  <w:pPr>
                    <w:pStyle w:val="TableParagraph"/>
                    <w:ind w:left="103" w:right="102"/>
                    <w:rPr>
                      <w:sz w:val="20"/>
                    </w:rPr>
                  </w:pPr>
                  <w:r w:rsidRPr="00810627">
                    <w:rPr>
                      <w:sz w:val="20"/>
                    </w:rPr>
                    <w:t>Where this is not being achieved, the CCG expect</w:t>
                  </w:r>
                  <w:r w:rsidR="006636D7" w:rsidRPr="00810627">
                    <w:rPr>
                      <w:sz w:val="20"/>
                    </w:rPr>
                    <w:t>s</w:t>
                  </w:r>
                  <w:r w:rsidRPr="00810627">
                    <w:rPr>
                      <w:sz w:val="20"/>
                    </w:rPr>
                    <w:t xml:space="preserve"> practices to demonstrate systems </w:t>
                  </w:r>
                  <w:r w:rsidR="006636D7" w:rsidRPr="00810627">
                    <w:rPr>
                      <w:sz w:val="20"/>
                    </w:rPr>
                    <w:t xml:space="preserve">in place </w:t>
                  </w:r>
                  <w:r w:rsidRPr="00810627">
                    <w:rPr>
                      <w:sz w:val="20"/>
                    </w:rPr>
                    <w:t>to safety net and follow these patients up</w:t>
                  </w:r>
                  <w:r w:rsidR="004F72C6" w:rsidRPr="00810627">
                    <w:rPr>
                      <w:sz w:val="18"/>
                    </w:rPr>
                    <w:t xml:space="preserve"> </w:t>
                  </w:r>
                </w:p>
              </w:tc>
            </w:tr>
            <w:tr w:rsidR="00CA64BF" w:rsidRPr="005122B6" w14:paraId="423969FA" w14:textId="0B2EA492" w:rsidTr="006636D7">
              <w:trPr>
                <w:trHeight w:val="2672"/>
              </w:trPr>
              <w:tc>
                <w:tcPr>
                  <w:tcW w:w="0" w:type="auto"/>
                </w:tcPr>
                <w:p w14:paraId="21DC537B" w14:textId="3CC9FEE4" w:rsidR="00BE7BCD" w:rsidRPr="00810627" w:rsidRDefault="001545B3" w:rsidP="001545B3">
                  <w:pPr>
                    <w:pStyle w:val="TableParagraph"/>
                    <w:ind w:left="103" w:right="102"/>
                    <w:jc w:val="both"/>
                    <w:rPr>
                      <w:b/>
                      <w:sz w:val="20"/>
                    </w:rPr>
                  </w:pPr>
                  <w:r w:rsidRPr="00810627">
                    <w:rPr>
                      <w:rFonts w:eastAsia="Times New Roman"/>
                      <w:b/>
                      <w:sz w:val="20"/>
                      <w:szCs w:val="24"/>
                    </w:rPr>
                    <w:t>100% of patients have a recall set up in the GP clinical system specifically for drug monitoring</w:t>
                  </w:r>
                  <w:r w:rsidRPr="00810627">
                    <w:rPr>
                      <w:b/>
                      <w:sz w:val="20"/>
                    </w:rPr>
                    <w:t xml:space="preserve"> including identifying when </w:t>
                  </w:r>
                  <w:r w:rsidR="00BE7BCD" w:rsidRPr="00810627">
                    <w:rPr>
                      <w:b/>
                      <w:sz w:val="20"/>
                    </w:rPr>
                    <w:t>patients have their follow up hospita</w:t>
                  </w:r>
                  <w:r w:rsidRPr="00810627">
                    <w:rPr>
                      <w:b/>
                      <w:sz w:val="20"/>
                    </w:rPr>
                    <w:t xml:space="preserve">l appointment recorded </w:t>
                  </w:r>
                  <w:r w:rsidR="00606222" w:rsidRPr="00810627">
                    <w:rPr>
                      <w:b/>
                      <w:sz w:val="20"/>
                    </w:rPr>
                    <w:t xml:space="preserve">(where applicable for patients under shared care with a specialist) </w:t>
                  </w:r>
                  <w:r w:rsidRPr="00810627">
                    <w:rPr>
                      <w:b/>
                      <w:sz w:val="20"/>
                    </w:rPr>
                    <w:t>and identifying any patients that DNA.</w:t>
                  </w:r>
                </w:p>
              </w:tc>
              <w:tc>
                <w:tcPr>
                  <w:tcW w:w="0" w:type="auto"/>
                </w:tcPr>
                <w:p w14:paraId="3FF938F9" w14:textId="2C443B15" w:rsidR="00BE7BCD" w:rsidRPr="00810627" w:rsidRDefault="002143F8" w:rsidP="002143F8">
                  <w:pPr>
                    <w:pStyle w:val="TableParagraph"/>
                    <w:ind w:left="103" w:right="102"/>
                    <w:jc w:val="both"/>
                    <w:rPr>
                      <w:sz w:val="20"/>
                    </w:rPr>
                  </w:pPr>
                  <w:r w:rsidRPr="00810627">
                    <w:rPr>
                      <w:sz w:val="20"/>
                    </w:rPr>
                    <w:t>Practices must have a robust call and recall system in order to identify patients that have not had appropriate reviews in line with the ESCA</w:t>
                  </w:r>
                  <w:r w:rsidR="00606222" w:rsidRPr="00810627">
                    <w:rPr>
                      <w:sz w:val="20"/>
                    </w:rPr>
                    <w:t>, PID or product recommendations</w:t>
                  </w:r>
                  <w:r w:rsidRPr="00810627">
                    <w:rPr>
                      <w:sz w:val="20"/>
                    </w:rPr>
                    <w:t xml:space="preserve">. </w:t>
                  </w:r>
                </w:p>
                <w:p w14:paraId="58063BED" w14:textId="77777777" w:rsidR="001545B3" w:rsidRPr="00810627" w:rsidRDefault="001545B3" w:rsidP="002143F8">
                  <w:pPr>
                    <w:pStyle w:val="TableParagraph"/>
                    <w:ind w:left="103" w:right="102"/>
                    <w:jc w:val="both"/>
                    <w:rPr>
                      <w:sz w:val="20"/>
                    </w:rPr>
                  </w:pPr>
                  <w:r w:rsidRPr="00810627">
                    <w:rPr>
                      <w:sz w:val="20"/>
                    </w:rPr>
                    <w:t>Practices should follow the advice in the ESCA</w:t>
                  </w:r>
                  <w:r w:rsidR="00606222" w:rsidRPr="00810627">
                    <w:rPr>
                      <w:sz w:val="20"/>
                    </w:rPr>
                    <w:t>/PID</w:t>
                  </w:r>
                  <w:r w:rsidRPr="00810627">
                    <w:rPr>
                      <w:sz w:val="20"/>
                    </w:rPr>
                    <w:t xml:space="preserve"> in the event of patients not attending clinical review or having</w:t>
                  </w:r>
                  <w:r w:rsidR="00606222" w:rsidRPr="00810627">
                    <w:rPr>
                      <w:sz w:val="20"/>
                    </w:rPr>
                    <w:t xml:space="preserve"> the required safety monitoring.</w:t>
                  </w:r>
                </w:p>
                <w:p w14:paraId="0235D602" w14:textId="77777777" w:rsidR="0082135C" w:rsidRPr="00810627" w:rsidRDefault="0082135C" w:rsidP="002143F8">
                  <w:pPr>
                    <w:pStyle w:val="TableParagraph"/>
                    <w:ind w:left="103" w:right="102"/>
                    <w:jc w:val="both"/>
                    <w:rPr>
                      <w:sz w:val="20"/>
                    </w:rPr>
                  </w:pPr>
                </w:p>
                <w:p w14:paraId="1C7B535A" w14:textId="0E51148E" w:rsidR="0082135C" w:rsidRPr="00810627" w:rsidRDefault="0082135C" w:rsidP="002143F8">
                  <w:pPr>
                    <w:pStyle w:val="TableParagraph"/>
                    <w:ind w:left="103" w:right="102"/>
                    <w:jc w:val="both"/>
                    <w:rPr>
                      <w:sz w:val="20"/>
                    </w:rPr>
                  </w:pPr>
                </w:p>
              </w:tc>
              <w:tc>
                <w:tcPr>
                  <w:tcW w:w="0" w:type="auto"/>
                </w:tcPr>
                <w:p w14:paraId="176C1CC1" w14:textId="665FB535" w:rsidR="00BE7BCD" w:rsidRPr="00810627" w:rsidRDefault="002143F8" w:rsidP="0082135C">
                  <w:r w:rsidRPr="00810627">
                    <w:rPr>
                      <w:sz w:val="20"/>
                    </w:rPr>
                    <w:t>Practices</w:t>
                  </w:r>
                  <w:r w:rsidR="00606222" w:rsidRPr="00810627">
                    <w:rPr>
                      <w:sz w:val="20"/>
                    </w:rPr>
                    <w:t xml:space="preserve"> should</w:t>
                  </w:r>
                  <w:r w:rsidRPr="00810627">
                    <w:rPr>
                      <w:sz w:val="20"/>
                    </w:rPr>
                    <w:t xml:space="preserve"> provide detail of their systems for call and recall of patients prescribed high risk drugs</w:t>
                  </w:r>
                  <w:r w:rsidR="00606222" w:rsidRPr="00810627">
                    <w:rPr>
                      <w:sz w:val="20"/>
                    </w:rPr>
                    <w:t xml:space="preserve">. </w:t>
                  </w:r>
                </w:p>
              </w:tc>
            </w:tr>
            <w:tr w:rsidR="00CA64BF" w:rsidRPr="005122B6" w14:paraId="292F2DA2" w14:textId="59EFF658" w:rsidTr="003F6420">
              <w:tc>
                <w:tcPr>
                  <w:tcW w:w="0" w:type="auto"/>
                </w:tcPr>
                <w:p w14:paraId="713D4D8E" w14:textId="3EDEE71C" w:rsidR="00BE7BCD" w:rsidRPr="00810627" w:rsidRDefault="00BE7BCD" w:rsidP="006B43BA">
                  <w:pPr>
                    <w:pStyle w:val="TableParagraph"/>
                    <w:ind w:left="103" w:right="102"/>
                    <w:jc w:val="both"/>
                    <w:rPr>
                      <w:rFonts w:eastAsia="Times New Roman"/>
                      <w:b/>
                      <w:sz w:val="20"/>
                      <w:szCs w:val="24"/>
                    </w:rPr>
                  </w:pPr>
                  <w:r w:rsidRPr="00810627">
                    <w:rPr>
                      <w:rFonts w:eastAsia="Times New Roman"/>
                      <w:b/>
                      <w:sz w:val="20"/>
                      <w:szCs w:val="24"/>
                    </w:rPr>
                    <w:lastRenderedPageBreak/>
                    <w:t xml:space="preserve">100% of patients have a record of advice and information regarding their condition and drug therapy </w:t>
                  </w:r>
                  <w:r w:rsidR="00687764" w:rsidRPr="00810627">
                    <w:rPr>
                      <w:rFonts w:eastAsia="Times New Roman"/>
                      <w:b/>
                      <w:sz w:val="20"/>
                      <w:szCs w:val="24"/>
                    </w:rPr>
                    <w:t xml:space="preserve">and monitoring requirements </w:t>
                  </w:r>
                  <w:r w:rsidRPr="00810627">
                    <w:rPr>
                      <w:rFonts w:eastAsia="Times New Roman"/>
                      <w:b/>
                      <w:sz w:val="20"/>
                      <w:szCs w:val="24"/>
                    </w:rPr>
                    <w:t>having been given.</w:t>
                  </w:r>
                </w:p>
              </w:tc>
              <w:tc>
                <w:tcPr>
                  <w:tcW w:w="0" w:type="auto"/>
                </w:tcPr>
                <w:p w14:paraId="57D533C0" w14:textId="62102BE5" w:rsidR="00BE7BCD" w:rsidRPr="00810627" w:rsidRDefault="00BE7BCD" w:rsidP="00665147">
                  <w:pPr>
                    <w:pStyle w:val="TableParagraph"/>
                    <w:ind w:left="103" w:right="102"/>
                    <w:jc w:val="both"/>
                    <w:rPr>
                      <w:rFonts w:eastAsia="Times New Roman"/>
                      <w:sz w:val="20"/>
                      <w:szCs w:val="24"/>
                    </w:rPr>
                  </w:pPr>
                  <w:r w:rsidRPr="00810627">
                    <w:rPr>
                      <w:rFonts w:eastAsia="Times New Roman"/>
                      <w:sz w:val="20"/>
                      <w:szCs w:val="24"/>
                    </w:rPr>
                    <w:t>The provider must demonstrate that 100% of patients on these drugs have a record of advice and information regarding their conditi</w:t>
                  </w:r>
                  <w:r w:rsidR="00CA64BF" w:rsidRPr="00810627">
                    <w:rPr>
                      <w:rFonts w:eastAsia="Times New Roman"/>
                      <w:sz w:val="20"/>
                      <w:szCs w:val="24"/>
                    </w:rPr>
                    <w:t>on and drug therapy being given, this may be recorded directly on to the GP clinical system or contained within the ESCA documentation (as applicable for medicines that require ESCA).</w:t>
                  </w:r>
                </w:p>
              </w:tc>
              <w:tc>
                <w:tcPr>
                  <w:tcW w:w="0" w:type="auto"/>
                </w:tcPr>
                <w:p w14:paraId="65CA6987" w14:textId="13AF15AA" w:rsidR="00BE7BCD" w:rsidRPr="00810627" w:rsidRDefault="00687764" w:rsidP="00474392">
                  <w:pPr>
                    <w:pStyle w:val="TableParagraph"/>
                    <w:ind w:left="103" w:right="102"/>
                    <w:rPr>
                      <w:rFonts w:eastAsia="Times New Roman"/>
                      <w:sz w:val="20"/>
                      <w:szCs w:val="24"/>
                    </w:rPr>
                  </w:pPr>
                  <w:r w:rsidRPr="00810627">
                    <w:rPr>
                      <w:rFonts w:eastAsia="Times New Roman"/>
                      <w:sz w:val="20"/>
                      <w:szCs w:val="24"/>
                    </w:rPr>
                    <w:t xml:space="preserve">Practice may be requested to provide a sample audit to demonstrate this. </w:t>
                  </w:r>
                </w:p>
              </w:tc>
            </w:tr>
            <w:tr w:rsidR="00CA64BF" w:rsidRPr="005122B6" w14:paraId="3A9E381E" w14:textId="213F5EE6" w:rsidTr="00313F20">
              <w:trPr>
                <w:trHeight w:val="1681"/>
              </w:trPr>
              <w:tc>
                <w:tcPr>
                  <w:tcW w:w="0" w:type="auto"/>
                </w:tcPr>
                <w:p w14:paraId="311701FA" w14:textId="080002CF" w:rsidR="00BE7BCD" w:rsidRPr="00810627" w:rsidRDefault="00BE7BCD" w:rsidP="00BE7BCD">
                  <w:pPr>
                    <w:pStyle w:val="TableParagraph"/>
                    <w:ind w:left="103" w:right="102"/>
                    <w:rPr>
                      <w:rFonts w:eastAsia="Times New Roman"/>
                      <w:b/>
                      <w:sz w:val="20"/>
                      <w:szCs w:val="24"/>
                    </w:rPr>
                  </w:pPr>
                  <w:r w:rsidRPr="00810627">
                    <w:rPr>
                      <w:b/>
                      <w:sz w:val="20"/>
                    </w:rPr>
                    <w:t>Practices should demonstrate their systems and processes used to identify and manage patients at risk of Hospital Admissions Related to Medicines (HARMS) or serious adverse events from medicines.</w:t>
                  </w:r>
                </w:p>
              </w:tc>
              <w:tc>
                <w:tcPr>
                  <w:tcW w:w="0" w:type="auto"/>
                </w:tcPr>
                <w:p w14:paraId="2FBADA78" w14:textId="074FC7DF" w:rsidR="00BE7BCD" w:rsidRPr="00810627" w:rsidRDefault="00BE7BCD" w:rsidP="00665147">
                  <w:pPr>
                    <w:pStyle w:val="TableParagraph"/>
                    <w:ind w:left="103" w:right="102"/>
                    <w:jc w:val="both"/>
                    <w:rPr>
                      <w:rFonts w:eastAsia="Times New Roman"/>
                      <w:sz w:val="20"/>
                      <w:szCs w:val="24"/>
                    </w:rPr>
                  </w:pPr>
                  <w:r w:rsidRPr="00810627">
                    <w:rPr>
                      <w:rFonts w:eastAsia="Times New Roman"/>
                      <w:sz w:val="20"/>
                      <w:szCs w:val="24"/>
                    </w:rPr>
                    <w:t>The provider must demonstrate they</w:t>
                  </w:r>
                  <w:r w:rsidR="004A41DD" w:rsidRPr="00810627">
                    <w:rPr>
                      <w:rFonts w:eastAsia="Times New Roman"/>
                      <w:sz w:val="20"/>
                      <w:szCs w:val="24"/>
                    </w:rPr>
                    <w:t xml:space="preserve"> have robust systems/tools in place to identify and prioritise patients at risk of adverse effects from medicines or hospital admissions for review. </w:t>
                  </w:r>
                  <w:r w:rsidRPr="00810627">
                    <w:rPr>
                      <w:rFonts w:eastAsia="Times New Roman"/>
                      <w:sz w:val="20"/>
                      <w:szCs w:val="24"/>
                    </w:rPr>
                    <w:t xml:space="preserve"> </w:t>
                  </w:r>
                  <w:r w:rsidR="004A41DD" w:rsidRPr="00810627">
                    <w:rPr>
                      <w:rFonts w:eastAsia="Times New Roman"/>
                      <w:sz w:val="20"/>
                      <w:szCs w:val="24"/>
                    </w:rPr>
                    <w:t xml:space="preserve">This can be demonstrated by practices </w:t>
                  </w:r>
                  <w:r w:rsidRPr="00810627">
                    <w:rPr>
                      <w:rFonts w:eastAsia="Times New Roman"/>
                      <w:sz w:val="20"/>
                      <w:szCs w:val="24"/>
                    </w:rPr>
                    <w:t>hav</w:t>
                  </w:r>
                  <w:r w:rsidR="004A41DD" w:rsidRPr="00810627">
                    <w:rPr>
                      <w:rFonts w:eastAsia="Times New Roman"/>
                      <w:sz w:val="20"/>
                      <w:szCs w:val="24"/>
                    </w:rPr>
                    <w:t>ing</w:t>
                  </w:r>
                  <w:r w:rsidRPr="00810627">
                    <w:rPr>
                      <w:rFonts w:eastAsia="Times New Roman"/>
                      <w:sz w:val="20"/>
                      <w:szCs w:val="24"/>
                    </w:rPr>
                    <w:t xml:space="preserve"> and actively utilising medicine safety systems e.g. PINCER and/or ECLIPSE </w:t>
                  </w:r>
                </w:p>
                <w:p w14:paraId="5AB3B11B" w14:textId="62C8033E" w:rsidR="00D27E22" w:rsidRPr="00810627" w:rsidRDefault="00D27E22" w:rsidP="00665147">
                  <w:pPr>
                    <w:pStyle w:val="TableParagraph"/>
                    <w:ind w:left="103" w:right="102"/>
                    <w:jc w:val="both"/>
                    <w:rPr>
                      <w:rFonts w:eastAsia="Times New Roman"/>
                      <w:sz w:val="20"/>
                      <w:szCs w:val="24"/>
                    </w:rPr>
                  </w:pPr>
                  <w:r w:rsidRPr="00810627">
                    <w:rPr>
                      <w:rFonts w:eastAsia="Times New Roman"/>
                      <w:sz w:val="20"/>
                      <w:szCs w:val="24"/>
                    </w:rPr>
                    <w:t>The provider must have an identified responsible lead for medicine safety</w:t>
                  </w:r>
                  <w:r w:rsidR="005F42C8" w:rsidRPr="00810627">
                    <w:rPr>
                      <w:rFonts w:eastAsia="Times New Roman"/>
                      <w:sz w:val="20"/>
                      <w:szCs w:val="24"/>
                    </w:rPr>
                    <w:t xml:space="preserve"> systems</w:t>
                  </w:r>
                  <w:r w:rsidR="004A41DD" w:rsidRPr="00810627">
                    <w:rPr>
                      <w:rFonts w:eastAsia="Times New Roman"/>
                      <w:sz w:val="20"/>
                      <w:szCs w:val="24"/>
                    </w:rPr>
                    <w:t xml:space="preserve"> and processes within the practice</w:t>
                  </w:r>
                  <w:r w:rsidRPr="00810627">
                    <w:rPr>
                      <w:rFonts w:eastAsia="Times New Roman"/>
                      <w:sz w:val="20"/>
                      <w:szCs w:val="24"/>
                    </w:rPr>
                    <w:t>.</w:t>
                  </w:r>
                </w:p>
              </w:tc>
              <w:tc>
                <w:tcPr>
                  <w:tcW w:w="0" w:type="auto"/>
                </w:tcPr>
                <w:p w14:paraId="390CB357" w14:textId="50F8B1AD" w:rsidR="00BE7BCD" w:rsidRPr="00810627" w:rsidRDefault="003F6420" w:rsidP="003F6420">
                  <w:pPr>
                    <w:pStyle w:val="TableParagraph"/>
                    <w:ind w:left="103" w:right="102"/>
                    <w:rPr>
                      <w:rFonts w:eastAsia="Times New Roman"/>
                      <w:sz w:val="20"/>
                      <w:szCs w:val="24"/>
                    </w:rPr>
                  </w:pPr>
                  <w:r w:rsidRPr="00810627">
                    <w:rPr>
                      <w:rFonts w:eastAsia="Times New Roman"/>
                      <w:sz w:val="20"/>
                      <w:szCs w:val="24"/>
                    </w:rPr>
                    <w:t>Practices to submit their process within Q1 and provide name of medicines safety lead.</w:t>
                  </w:r>
                </w:p>
                <w:p w14:paraId="00CD4651" w14:textId="6B18AE04" w:rsidR="003F6420" w:rsidRPr="00810627" w:rsidRDefault="003F6420" w:rsidP="003F6420">
                  <w:pPr>
                    <w:pStyle w:val="TableParagraph"/>
                    <w:ind w:left="103" w:right="102"/>
                    <w:rPr>
                      <w:rFonts w:eastAsia="Times New Roman"/>
                      <w:sz w:val="20"/>
                      <w:szCs w:val="24"/>
                    </w:rPr>
                  </w:pPr>
                  <w:r w:rsidRPr="00810627">
                    <w:rPr>
                      <w:rFonts w:eastAsia="Times New Roman"/>
                      <w:sz w:val="20"/>
                      <w:szCs w:val="24"/>
                    </w:rPr>
                    <w:t>CCG to monitor use of PINCER and ECLIPSE</w:t>
                  </w:r>
                  <w:r w:rsidR="004A41DD" w:rsidRPr="00810627">
                    <w:rPr>
                      <w:rFonts w:eastAsia="Times New Roman"/>
                      <w:sz w:val="20"/>
                      <w:szCs w:val="24"/>
                    </w:rPr>
                    <w:t xml:space="preserve"> where practices have this in place</w:t>
                  </w:r>
                  <w:r w:rsidRPr="00810627">
                    <w:rPr>
                      <w:rFonts w:eastAsia="Times New Roman"/>
                      <w:sz w:val="20"/>
                      <w:szCs w:val="24"/>
                    </w:rPr>
                    <w:t xml:space="preserve">. </w:t>
                  </w:r>
                </w:p>
                <w:p w14:paraId="172864E4" w14:textId="2BF38A48" w:rsidR="003F6420" w:rsidRPr="00810627" w:rsidRDefault="003F6420" w:rsidP="003F6420">
                  <w:pPr>
                    <w:pStyle w:val="TableParagraph"/>
                    <w:ind w:left="103" w:right="102"/>
                    <w:jc w:val="both"/>
                    <w:rPr>
                      <w:rFonts w:eastAsia="Times New Roman"/>
                      <w:sz w:val="20"/>
                      <w:szCs w:val="24"/>
                    </w:rPr>
                  </w:pPr>
                </w:p>
              </w:tc>
            </w:tr>
          </w:tbl>
          <w:p w14:paraId="3130850D" w14:textId="49BF4F75" w:rsidR="00EC5FFF" w:rsidRDefault="00EC5FFF" w:rsidP="0000408C">
            <w:pPr>
              <w:pStyle w:val="TableParagraph"/>
              <w:ind w:right="110"/>
              <w:jc w:val="both"/>
              <w:rPr>
                <w:sz w:val="24"/>
              </w:rPr>
            </w:pPr>
          </w:p>
        </w:tc>
      </w:tr>
    </w:tbl>
    <w:p w14:paraId="4EF424E5" w14:textId="77777777" w:rsidR="000369A6" w:rsidRDefault="000369A6">
      <w:pPr>
        <w:jc w:val="both"/>
        <w:rPr>
          <w:sz w:val="24"/>
        </w:rPr>
        <w:sectPr w:rsidR="000369A6">
          <w:headerReference w:type="even" r:id="rId15"/>
          <w:headerReference w:type="default" r:id="rId16"/>
          <w:footerReference w:type="even" r:id="rId17"/>
          <w:footerReference w:type="default" r:id="rId18"/>
          <w:headerReference w:type="first" r:id="rId19"/>
          <w:footerReference w:type="first" r:id="rId20"/>
          <w:pgSz w:w="11910" w:h="16840"/>
          <w:pgMar w:top="1380" w:right="700" w:bottom="1540" w:left="1320" w:header="712" w:footer="1352" w:gutter="0"/>
          <w:cols w:space="720"/>
        </w:sectPr>
      </w:pPr>
    </w:p>
    <w:p w14:paraId="3F424DF9" w14:textId="794A7BCA" w:rsidR="00E664DC" w:rsidRPr="00721766" w:rsidRDefault="00E664DC" w:rsidP="00E664DC">
      <w:pPr>
        <w:rPr>
          <w:b/>
        </w:rPr>
      </w:pPr>
      <w:r w:rsidRPr="00721766">
        <w:rPr>
          <w:b/>
        </w:rPr>
        <w:lastRenderedPageBreak/>
        <w:t>Appendix One: Drugs included</w:t>
      </w:r>
      <w:r w:rsidR="00E20A0F" w:rsidRPr="00721766">
        <w:rPr>
          <w:b/>
        </w:rPr>
        <w:t xml:space="preserve"> in the service specification </w:t>
      </w:r>
    </w:p>
    <w:tbl>
      <w:tblPr>
        <w:tblStyle w:val="TableGrid"/>
        <w:tblW w:w="0" w:type="auto"/>
        <w:tblLook w:val="04A0" w:firstRow="1" w:lastRow="0" w:firstColumn="1" w:lastColumn="0" w:noHBand="0" w:noVBand="1"/>
      </w:tblPr>
      <w:tblGrid>
        <w:gridCol w:w="3327"/>
        <w:gridCol w:w="3609"/>
        <w:gridCol w:w="3170"/>
      </w:tblGrid>
      <w:tr w:rsidR="004161B9" w:rsidRPr="00810627" w14:paraId="7A27C401" w14:textId="5ADFF532" w:rsidTr="004161B9">
        <w:tc>
          <w:tcPr>
            <w:tcW w:w="3327" w:type="dxa"/>
          </w:tcPr>
          <w:p w14:paraId="1372D004" w14:textId="77777777" w:rsidR="004161B9" w:rsidRPr="00810627" w:rsidRDefault="004161B9" w:rsidP="00E20A0F">
            <w:pPr>
              <w:rPr>
                <w:b/>
                <w:szCs w:val="24"/>
                <w:lang w:val="en-GB"/>
              </w:rPr>
            </w:pPr>
            <w:bookmarkStart w:id="1" w:name="_Hlk4403252"/>
            <w:r w:rsidRPr="00810627">
              <w:rPr>
                <w:b/>
                <w:szCs w:val="24"/>
                <w:lang w:val="en-GB"/>
              </w:rPr>
              <w:t>Medication</w:t>
            </w:r>
          </w:p>
          <w:p w14:paraId="36A2D6A3" w14:textId="77777777" w:rsidR="004161B9" w:rsidRPr="00810627" w:rsidRDefault="004161B9" w:rsidP="00E20A0F">
            <w:pPr>
              <w:rPr>
                <w:b/>
                <w:szCs w:val="24"/>
                <w:lang w:val="en-GB"/>
              </w:rPr>
            </w:pPr>
          </w:p>
        </w:tc>
        <w:tc>
          <w:tcPr>
            <w:tcW w:w="3609" w:type="dxa"/>
          </w:tcPr>
          <w:p w14:paraId="2010F300" w14:textId="77777777" w:rsidR="004161B9" w:rsidRPr="00810627" w:rsidRDefault="004161B9" w:rsidP="00E20A0F">
            <w:pPr>
              <w:rPr>
                <w:b/>
                <w:szCs w:val="24"/>
                <w:lang w:val="en-GB"/>
              </w:rPr>
            </w:pPr>
            <w:r w:rsidRPr="00810627">
              <w:rPr>
                <w:b/>
                <w:szCs w:val="24"/>
                <w:lang w:val="en-GB"/>
              </w:rPr>
              <w:t>Indication</w:t>
            </w:r>
          </w:p>
        </w:tc>
        <w:tc>
          <w:tcPr>
            <w:tcW w:w="3170" w:type="dxa"/>
          </w:tcPr>
          <w:p w14:paraId="5CCE5FD2" w14:textId="0D3E3F93" w:rsidR="004161B9" w:rsidRPr="00810627" w:rsidRDefault="004161B9" w:rsidP="00E20A0F">
            <w:pPr>
              <w:rPr>
                <w:b/>
                <w:szCs w:val="24"/>
                <w:lang w:val="en-GB"/>
              </w:rPr>
            </w:pPr>
            <w:r w:rsidRPr="00810627">
              <w:rPr>
                <w:b/>
                <w:szCs w:val="24"/>
                <w:lang w:val="en-GB"/>
              </w:rPr>
              <w:t>Documentation</w:t>
            </w:r>
          </w:p>
        </w:tc>
      </w:tr>
      <w:tr w:rsidR="004161B9" w:rsidRPr="00810627" w14:paraId="00050D5D" w14:textId="743EE143" w:rsidTr="004161B9">
        <w:tc>
          <w:tcPr>
            <w:tcW w:w="3327" w:type="dxa"/>
          </w:tcPr>
          <w:p w14:paraId="62975133" w14:textId="77777777" w:rsidR="004161B9" w:rsidRPr="00810627" w:rsidRDefault="004161B9" w:rsidP="00E20A0F">
            <w:pPr>
              <w:rPr>
                <w:szCs w:val="24"/>
                <w:lang w:val="en-GB"/>
              </w:rPr>
            </w:pPr>
            <w:r w:rsidRPr="00810627">
              <w:rPr>
                <w:szCs w:val="24"/>
                <w:lang w:val="en-GB"/>
              </w:rPr>
              <w:t>Methylphenidate</w:t>
            </w:r>
          </w:p>
        </w:tc>
        <w:tc>
          <w:tcPr>
            <w:tcW w:w="3609" w:type="dxa"/>
          </w:tcPr>
          <w:p w14:paraId="6212EEA9" w14:textId="77777777" w:rsidR="004161B9" w:rsidRPr="00810627" w:rsidRDefault="004161B9" w:rsidP="00E20A0F">
            <w:pPr>
              <w:rPr>
                <w:szCs w:val="24"/>
                <w:lang w:val="en-GB"/>
              </w:rPr>
            </w:pPr>
            <w:r w:rsidRPr="00810627">
              <w:rPr>
                <w:szCs w:val="24"/>
                <w:lang w:val="en-GB"/>
              </w:rPr>
              <w:t>ADHD</w:t>
            </w:r>
          </w:p>
        </w:tc>
        <w:tc>
          <w:tcPr>
            <w:tcW w:w="3170" w:type="dxa"/>
          </w:tcPr>
          <w:p w14:paraId="2B54CFB6" w14:textId="28199A82" w:rsidR="004161B9" w:rsidRPr="00810627" w:rsidRDefault="004161B9" w:rsidP="00E20A0F">
            <w:pPr>
              <w:rPr>
                <w:szCs w:val="24"/>
                <w:lang w:val="en-GB"/>
              </w:rPr>
            </w:pPr>
            <w:r w:rsidRPr="00810627">
              <w:rPr>
                <w:szCs w:val="24"/>
                <w:lang w:val="en-GB"/>
              </w:rPr>
              <w:t>ESCA</w:t>
            </w:r>
          </w:p>
        </w:tc>
      </w:tr>
      <w:tr w:rsidR="004161B9" w:rsidRPr="00810627" w14:paraId="29101F7F" w14:textId="6FB14312" w:rsidTr="004161B9">
        <w:tc>
          <w:tcPr>
            <w:tcW w:w="3327" w:type="dxa"/>
          </w:tcPr>
          <w:p w14:paraId="5CDE4CAD" w14:textId="77777777" w:rsidR="004161B9" w:rsidRPr="00810627" w:rsidRDefault="004161B9" w:rsidP="00E20A0F">
            <w:pPr>
              <w:rPr>
                <w:szCs w:val="24"/>
                <w:lang w:val="en-GB"/>
              </w:rPr>
            </w:pPr>
            <w:r w:rsidRPr="00810627">
              <w:rPr>
                <w:szCs w:val="24"/>
                <w:lang w:val="en-GB"/>
              </w:rPr>
              <w:t>Dexamfetamine</w:t>
            </w:r>
          </w:p>
        </w:tc>
        <w:tc>
          <w:tcPr>
            <w:tcW w:w="3609" w:type="dxa"/>
          </w:tcPr>
          <w:p w14:paraId="573062E9" w14:textId="77777777" w:rsidR="004161B9" w:rsidRPr="00810627" w:rsidRDefault="004161B9" w:rsidP="00E20A0F">
            <w:pPr>
              <w:rPr>
                <w:szCs w:val="24"/>
                <w:lang w:val="en-GB"/>
              </w:rPr>
            </w:pPr>
            <w:r w:rsidRPr="00810627">
              <w:rPr>
                <w:szCs w:val="24"/>
                <w:lang w:val="en-GB"/>
              </w:rPr>
              <w:t>ADHD</w:t>
            </w:r>
          </w:p>
        </w:tc>
        <w:tc>
          <w:tcPr>
            <w:tcW w:w="3170" w:type="dxa"/>
          </w:tcPr>
          <w:p w14:paraId="7E66EE17" w14:textId="7949383A" w:rsidR="004161B9" w:rsidRPr="00810627" w:rsidRDefault="004161B9" w:rsidP="00E20A0F">
            <w:pPr>
              <w:rPr>
                <w:szCs w:val="24"/>
                <w:lang w:val="en-GB"/>
              </w:rPr>
            </w:pPr>
            <w:r w:rsidRPr="00810627">
              <w:rPr>
                <w:szCs w:val="24"/>
                <w:lang w:val="en-GB"/>
              </w:rPr>
              <w:t>ESCA</w:t>
            </w:r>
          </w:p>
        </w:tc>
      </w:tr>
      <w:tr w:rsidR="004161B9" w:rsidRPr="00810627" w14:paraId="05C3FFEE" w14:textId="4DC8DF91" w:rsidTr="004161B9">
        <w:tc>
          <w:tcPr>
            <w:tcW w:w="3327" w:type="dxa"/>
          </w:tcPr>
          <w:p w14:paraId="6A950BDF" w14:textId="77777777" w:rsidR="004161B9" w:rsidRPr="00810627" w:rsidRDefault="004161B9" w:rsidP="00E20A0F">
            <w:pPr>
              <w:rPr>
                <w:szCs w:val="24"/>
                <w:lang w:val="en-GB"/>
              </w:rPr>
            </w:pPr>
            <w:r w:rsidRPr="00810627">
              <w:rPr>
                <w:szCs w:val="24"/>
                <w:lang w:val="en-GB"/>
              </w:rPr>
              <w:t>Lisdexamfetamine</w:t>
            </w:r>
          </w:p>
        </w:tc>
        <w:tc>
          <w:tcPr>
            <w:tcW w:w="3609" w:type="dxa"/>
          </w:tcPr>
          <w:p w14:paraId="72F567D0" w14:textId="77777777" w:rsidR="004161B9" w:rsidRPr="00810627" w:rsidRDefault="004161B9" w:rsidP="00E20A0F">
            <w:pPr>
              <w:rPr>
                <w:szCs w:val="24"/>
                <w:lang w:val="en-GB"/>
              </w:rPr>
            </w:pPr>
            <w:r w:rsidRPr="00810627">
              <w:rPr>
                <w:szCs w:val="24"/>
                <w:lang w:val="en-GB"/>
              </w:rPr>
              <w:t>ADHD</w:t>
            </w:r>
          </w:p>
        </w:tc>
        <w:tc>
          <w:tcPr>
            <w:tcW w:w="3170" w:type="dxa"/>
          </w:tcPr>
          <w:p w14:paraId="2E359737" w14:textId="3A0DFFDF" w:rsidR="004161B9" w:rsidRPr="00810627" w:rsidRDefault="004161B9" w:rsidP="00E20A0F">
            <w:pPr>
              <w:rPr>
                <w:szCs w:val="24"/>
                <w:lang w:val="en-GB"/>
              </w:rPr>
            </w:pPr>
            <w:r w:rsidRPr="00810627">
              <w:rPr>
                <w:szCs w:val="24"/>
                <w:lang w:val="en-GB"/>
              </w:rPr>
              <w:t>ESCA</w:t>
            </w:r>
          </w:p>
        </w:tc>
      </w:tr>
      <w:tr w:rsidR="004161B9" w:rsidRPr="00810627" w14:paraId="4CACBFF1" w14:textId="58F6F524" w:rsidTr="004161B9">
        <w:tc>
          <w:tcPr>
            <w:tcW w:w="3327" w:type="dxa"/>
          </w:tcPr>
          <w:p w14:paraId="4B3E0E93" w14:textId="77777777" w:rsidR="004161B9" w:rsidRPr="00810627" w:rsidRDefault="004161B9" w:rsidP="00E20A0F">
            <w:pPr>
              <w:rPr>
                <w:szCs w:val="24"/>
                <w:lang w:val="en-GB"/>
              </w:rPr>
            </w:pPr>
            <w:r w:rsidRPr="00810627">
              <w:rPr>
                <w:szCs w:val="24"/>
                <w:lang w:val="en-GB"/>
              </w:rPr>
              <w:t>Guanfacine</w:t>
            </w:r>
          </w:p>
        </w:tc>
        <w:tc>
          <w:tcPr>
            <w:tcW w:w="3609" w:type="dxa"/>
          </w:tcPr>
          <w:p w14:paraId="26C1F153" w14:textId="77777777" w:rsidR="004161B9" w:rsidRPr="00810627" w:rsidRDefault="004161B9" w:rsidP="00E20A0F">
            <w:pPr>
              <w:rPr>
                <w:szCs w:val="24"/>
                <w:lang w:val="en-GB"/>
              </w:rPr>
            </w:pPr>
            <w:r w:rsidRPr="00810627">
              <w:rPr>
                <w:szCs w:val="24"/>
                <w:lang w:val="en-GB"/>
              </w:rPr>
              <w:t>ADHD</w:t>
            </w:r>
          </w:p>
        </w:tc>
        <w:tc>
          <w:tcPr>
            <w:tcW w:w="3170" w:type="dxa"/>
          </w:tcPr>
          <w:p w14:paraId="15274FF4" w14:textId="461DDEC9" w:rsidR="004161B9" w:rsidRPr="00810627" w:rsidRDefault="004161B9" w:rsidP="00E20A0F">
            <w:pPr>
              <w:rPr>
                <w:szCs w:val="24"/>
                <w:lang w:val="en-GB"/>
              </w:rPr>
            </w:pPr>
            <w:r w:rsidRPr="00810627">
              <w:rPr>
                <w:szCs w:val="24"/>
                <w:lang w:val="en-GB"/>
              </w:rPr>
              <w:t>ESCA</w:t>
            </w:r>
          </w:p>
        </w:tc>
      </w:tr>
      <w:tr w:rsidR="004161B9" w:rsidRPr="00810627" w14:paraId="79532E46" w14:textId="2033105F" w:rsidTr="004161B9">
        <w:tc>
          <w:tcPr>
            <w:tcW w:w="3327" w:type="dxa"/>
          </w:tcPr>
          <w:p w14:paraId="1A4C63E9" w14:textId="77777777" w:rsidR="004161B9" w:rsidRPr="00810627" w:rsidRDefault="004161B9" w:rsidP="00E20A0F">
            <w:pPr>
              <w:rPr>
                <w:szCs w:val="24"/>
                <w:lang w:val="en-GB"/>
              </w:rPr>
            </w:pPr>
            <w:r w:rsidRPr="00810627">
              <w:rPr>
                <w:szCs w:val="24"/>
                <w:lang w:val="en-GB"/>
              </w:rPr>
              <w:t xml:space="preserve">Atomoxetine </w:t>
            </w:r>
          </w:p>
        </w:tc>
        <w:tc>
          <w:tcPr>
            <w:tcW w:w="3609" w:type="dxa"/>
          </w:tcPr>
          <w:p w14:paraId="7FA18F92" w14:textId="77777777" w:rsidR="004161B9" w:rsidRPr="00810627" w:rsidRDefault="004161B9" w:rsidP="00E20A0F">
            <w:pPr>
              <w:rPr>
                <w:szCs w:val="24"/>
                <w:lang w:val="en-GB"/>
              </w:rPr>
            </w:pPr>
            <w:r w:rsidRPr="00810627">
              <w:rPr>
                <w:szCs w:val="24"/>
                <w:lang w:val="en-GB"/>
              </w:rPr>
              <w:t>ADHD</w:t>
            </w:r>
          </w:p>
        </w:tc>
        <w:tc>
          <w:tcPr>
            <w:tcW w:w="3170" w:type="dxa"/>
          </w:tcPr>
          <w:p w14:paraId="6207BFFC" w14:textId="02F89785" w:rsidR="004161B9" w:rsidRPr="00810627" w:rsidRDefault="004161B9" w:rsidP="00E20A0F">
            <w:pPr>
              <w:rPr>
                <w:szCs w:val="24"/>
                <w:lang w:val="en-GB"/>
              </w:rPr>
            </w:pPr>
            <w:r w:rsidRPr="00810627">
              <w:rPr>
                <w:szCs w:val="24"/>
                <w:lang w:val="en-GB"/>
              </w:rPr>
              <w:t>ESCA</w:t>
            </w:r>
          </w:p>
        </w:tc>
      </w:tr>
      <w:tr w:rsidR="004161B9" w:rsidRPr="00810627" w14:paraId="7566EFEF" w14:textId="5E5D1E95" w:rsidTr="004161B9">
        <w:tc>
          <w:tcPr>
            <w:tcW w:w="3327" w:type="dxa"/>
          </w:tcPr>
          <w:p w14:paraId="3EDD22B8" w14:textId="090F8768" w:rsidR="004161B9" w:rsidRPr="00810627" w:rsidRDefault="004161B9" w:rsidP="00E20A0F">
            <w:pPr>
              <w:rPr>
                <w:szCs w:val="24"/>
                <w:lang w:val="en-GB"/>
              </w:rPr>
            </w:pPr>
            <w:r w:rsidRPr="00810627">
              <w:rPr>
                <w:szCs w:val="24"/>
                <w:lang w:val="en-GB"/>
              </w:rPr>
              <w:t>Fluoxetine</w:t>
            </w:r>
          </w:p>
        </w:tc>
        <w:tc>
          <w:tcPr>
            <w:tcW w:w="3609" w:type="dxa"/>
          </w:tcPr>
          <w:p w14:paraId="4489CC14" w14:textId="765F5F01" w:rsidR="004161B9" w:rsidRPr="00810627" w:rsidRDefault="004161B9" w:rsidP="00E20A0F">
            <w:pPr>
              <w:rPr>
                <w:szCs w:val="24"/>
                <w:lang w:val="en-GB"/>
              </w:rPr>
            </w:pPr>
            <w:r w:rsidRPr="00810627">
              <w:rPr>
                <w:szCs w:val="24"/>
                <w:lang w:val="en-GB"/>
              </w:rPr>
              <w:t>CAMHS- Depression</w:t>
            </w:r>
          </w:p>
        </w:tc>
        <w:tc>
          <w:tcPr>
            <w:tcW w:w="3170" w:type="dxa"/>
          </w:tcPr>
          <w:p w14:paraId="356B1385" w14:textId="15D97C45" w:rsidR="004161B9" w:rsidRPr="00810627" w:rsidRDefault="004161B9" w:rsidP="00E20A0F">
            <w:pPr>
              <w:rPr>
                <w:szCs w:val="24"/>
                <w:lang w:val="en-GB"/>
              </w:rPr>
            </w:pPr>
            <w:r w:rsidRPr="00810627">
              <w:rPr>
                <w:szCs w:val="24"/>
                <w:lang w:val="en-GB"/>
              </w:rPr>
              <w:t>ESCA</w:t>
            </w:r>
          </w:p>
        </w:tc>
      </w:tr>
      <w:tr w:rsidR="004161B9" w:rsidRPr="00810627" w14:paraId="24C9EB23" w14:textId="67D8A38A" w:rsidTr="004161B9">
        <w:tc>
          <w:tcPr>
            <w:tcW w:w="3327" w:type="dxa"/>
          </w:tcPr>
          <w:p w14:paraId="07584555" w14:textId="303C928B" w:rsidR="004161B9" w:rsidRPr="00810627" w:rsidRDefault="004161B9" w:rsidP="00E20A0F">
            <w:pPr>
              <w:rPr>
                <w:szCs w:val="24"/>
                <w:lang w:val="en-GB"/>
              </w:rPr>
            </w:pPr>
            <w:r w:rsidRPr="00810627">
              <w:rPr>
                <w:szCs w:val="24"/>
                <w:lang w:val="en-GB"/>
              </w:rPr>
              <w:t>Risperidone</w:t>
            </w:r>
          </w:p>
        </w:tc>
        <w:tc>
          <w:tcPr>
            <w:tcW w:w="3609" w:type="dxa"/>
          </w:tcPr>
          <w:p w14:paraId="6068852D" w14:textId="1ECEADEC" w:rsidR="004161B9" w:rsidRPr="00810627" w:rsidRDefault="004161B9" w:rsidP="00E20A0F">
            <w:pPr>
              <w:rPr>
                <w:szCs w:val="24"/>
                <w:lang w:val="en-GB"/>
              </w:rPr>
            </w:pPr>
            <w:r w:rsidRPr="00810627">
              <w:rPr>
                <w:szCs w:val="24"/>
                <w:lang w:val="en-GB"/>
              </w:rPr>
              <w:t>CAMHS-Conduct disorder</w:t>
            </w:r>
          </w:p>
        </w:tc>
        <w:tc>
          <w:tcPr>
            <w:tcW w:w="3170" w:type="dxa"/>
          </w:tcPr>
          <w:p w14:paraId="7D06D73F" w14:textId="53812A53" w:rsidR="004161B9" w:rsidRPr="00810627" w:rsidRDefault="004161B9" w:rsidP="00E20A0F">
            <w:pPr>
              <w:rPr>
                <w:szCs w:val="24"/>
                <w:lang w:val="en-GB"/>
              </w:rPr>
            </w:pPr>
            <w:r w:rsidRPr="00810627">
              <w:rPr>
                <w:szCs w:val="24"/>
                <w:lang w:val="en-GB"/>
              </w:rPr>
              <w:t>ESCA</w:t>
            </w:r>
          </w:p>
        </w:tc>
      </w:tr>
      <w:tr w:rsidR="004161B9" w:rsidRPr="00810627" w14:paraId="2AD14BE7" w14:textId="0A7C7E3B" w:rsidTr="004161B9">
        <w:tc>
          <w:tcPr>
            <w:tcW w:w="3327" w:type="dxa"/>
          </w:tcPr>
          <w:p w14:paraId="149C6EE3" w14:textId="623A1643" w:rsidR="004161B9" w:rsidRPr="00810627" w:rsidRDefault="004161B9" w:rsidP="00E20A0F">
            <w:pPr>
              <w:rPr>
                <w:szCs w:val="24"/>
                <w:lang w:val="en-GB"/>
              </w:rPr>
            </w:pPr>
            <w:r w:rsidRPr="00810627">
              <w:rPr>
                <w:szCs w:val="24"/>
                <w:lang w:val="en-GB"/>
              </w:rPr>
              <w:t>Somatropin</w:t>
            </w:r>
          </w:p>
        </w:tc>
        <w:tc>
          <w:tcPr>
            <w:tcW w:w="3609" w:type="dxa"/>
          </w:tcPr>
          <w:p w14:paraId="5056BE59" w14:textId="6974F13D" w:rsidR="004161B9" w:rsidRPr="00810627" w:rsidRDefault="004161B9" w:rsidP="00E20A0F">
            <w:pPr>
              <w:rPr>
                <w:szCs w:val="24"/>
                <w:lang w:val="en-GB"/>
              </w:rPr>
            </w:pPr>
            <w:r w:rsidRPr="00810627">
              <w:rPr>
                <w:szCs w:val="24"/>
                <w:lang w:val="en-GB"/>
              </w:rPr>
              <w:t>Growth Hormone deficiency</w:t>
            </w:r>
          </w:p>
        </w:tc>
        <w:tc>
          <w:tcPr>
            <w:tcW w:w="3170" w:type="dxa"/>
          </w:tcPr>
          <w:p w14:paraId="6503581A" w14:textId="1D419908" w:rsidR="004161B9" w:rsidRPr="00810627" w:rsidRDefault="004161B9" w:rsidP="00E20A0F">
            <w:pPr>
              <w:rPr>
                <w:szCs w:val="24"/>
                <w:lang w:val="en-GB"/>
              </w:rPr>
            </w:pPr>
            <w:r w:rsidRPr="00810627">
              <w:rPr>
                <w:szCs w:val="24"/>
                <w:lang w:val="en-GB"/>
              </w:rPr>
              <w:t>ESCA</w:t>
            </w:r>
          </w:p>
        </w:tc>
      </w:tr>
      <w:tr w:rsidR="004161B9" w:rsidRPr="00810627" w14:paraId="65672B31" w14:textId="4C57BFE7" w:rsidTr="004161B9">
        <w:tc>
          <w:tcPr>
            <w:tcW w:w="3327" w:type="dxa"/>
          </w:tcPr>
          <w:p w14:paraId="07232493" w14:textId="77777777" w:rsidR="004161B9" w:rsidRPr="00810627" w:rsidRDefault="004161B9" w:rsidP="00E20A0F">
            <w:pPr>
              <w:rPr>
                <w:szCs w:val="24"/>
                <w:lang w:val="en-GB"/>
              </w:rPr>
            </w:pPr>
            <w:r w:rsidRPr="00810627">
              <w:rPr>
                <w:szCs w:val="24"/>
                <w:lang w:val="en-GB"/>
              </w:rPr>
              <w:t>Warfarin</w:t>
            </w:r>
          </w:p>
        </w:tc>
        <w:tc>
          <w:tcPr>
            <w:tcW w:w="3609" w:type="dxa"/>
          </w:tcPr>
          <w:p w14:paraId="6A3ED9AA" w14:textId="77777777" w:rsidR="004161B9" w:rsidRPr="00810627" w:rsidRDefault="004161B9" w:rsidP="00E20A0F">
            <w:pPr>
              <w:rPr>
                <w:szCs w:val="24"/>
                <w:lang w:val="en-GB"/>
              </w:rPr>
            </w:pPr>
            <w:r w:rsidRPr="00810627">
              <w:rPr>
                <w:szCs w:val="24"/>
                <w:lang w:val="en-GB"/>
              </w:rPr>
              <w:t>Anticoagulation</w:t>
            </w:r>
          </w:p>
        </w:tc>
        <w:tc>
          <w:tcPr>
            <w:tcW w:w="3170" w:type="dxa"/>
          </w:tcPr>
          <w:p w14:paraId="5D69CE51" w14:textId="78988A70" w:rsidR="004161B9" w:rsidRPr="00810627" w:rsidRDefault="004161B9" w:rsidP="00E20A0F">
            <w:pPr>
              <w:rPr>
                <w:szCs w:val="24"/>
                <w:lang w:val="en-GB"/>
              </w:rPr>
            </w:pPr>
            <w:r w:rsidRPr="00810627">
              <w:rPr>
                <w:szCs w:val="24"/>
                <w:lang w:val="en-GB"/>
              </w:rPr>
              <w:t>N/A</w:t>
            </w:r>
          </w:p>
        </w:tc>
      </w:tr>
      <w:tr w:rsidR="004161B9" w:rsidRPr="00810627" w14:paraId="1D92FAD1" w14:textId="3F1CEB9E" w:rsidTr="004161B9">
        <w:tc>
          <w:tcPr>
            <w:tcW w:w="3327" w:type="dxa"/>
          </w:tcPr>
          <w:p w14:paraId="41F0E086" w14:textId="77777777" w:rsidR="004161B9" w:rsidRPr="00810627" w:rsidRDefault="004161B9" w:rsidP="00E20A0F">
            <w:pPr>
              <w:rPr>
                <w:szCs w:val="24"/>
                <w:lang w:val="en-GB"/>
              </w:rPr>
            </w:pPr>
            <w:r w:rsidRPr="00810627">
              <w:rPr>
                <w:szCs w:val="24"/>
                <w:lang w:val="en-GB"/>
              </w:rPr>
              <w:t>Apixaban</w:t>
            </w:r>
          </w:p>
        </w:tc>
        <w:tc>
          <w:tcPr>
            <w:tcW w:w="3609" w:type="dxa"/>
          </w:tcPr>
          <w:p w14:paraId="50E259D5" w14:textId="77777777" w:rsidR="004161B9" w:rsidRPr="00810627" w:rsidRDefault="004161B9" w:rsidP="00E20A0F">
            <w:pPr>
              <w:rPr>
                <w:szCs w:val="24"/>
                <w:lang w:val="en-GB"/>
              </w:rPr>
            </w:pPr>
            <w:r w:rsidRPr="00810627">
              <w:rPr>
                <w:szCs w:val="24"/>
                <w:lang w:val="en-GB"/>
              </w:rPr>
              <w:t>Anticoagulation</w:t>
            </w:r>
          </w:p>
        </w:tc>
        <w:tc>
          <w:tcPr>
            <w:tcW w:w="3170" w:type="dxa"/>
          </w:tcPr>
          <w:p w14:paraId="5387DF58" w14:textId="32400D24" w:rsidR="004161B9" w:rsidRPr="00810627" w:rsidRDefault="004161B9" w:rsidP="00E20A0F">
            <w:pPr>
              <w:rPr>
                <w:szCs w:val="24"/>
                <w:lang w:val="en-GB"/>
              </w:rPr>
            </w:pPr>
            <w:r w:rsidRPr="00810627">
              <w:rPr>
                <w:szCs w:val="24"/>
                <w:lang w:val="en-GB"/>
              </w:rPr>
              <w:t>N/A</w:t>
            </w:r>
          </w:p>
        </w:tc>
      </w:tr>
      <w:tr w:rsidR="004161B9" w:rsidRPr="00810627" w14:paraId="04A6E98B" w14:textId="1E900FBB" w:rsidTr="004161B9">
        <w:tc>
          <w:tcPr>
            <w:tcW w:w="3327" w:type="dxa"/>
          </w:tcPr>
          <w:p w14:paraId="2AACF500" w14:textId="77777777" w:rsidR="004161B9" w:rsidRPr="00810627" w:rsidRDefault="004161B9" w:rsidP="00E20A0F">
            <w:pPr>
              <w:rPr>
                <w:szCs w:val="24"/>
                <w:lang w:val="en-GB"/>
              </w:rPr>
            </w:pPr>
            <w:r w:rsidRPr="00810627">
              <w:rPr>
                <w:szCs w:val="24"/>
                <w:lang w:val="en-GB"/>
              </w:rPr>
              <w:t>Dabigatran</w:t>
            </w:r>
          </w:p>
        </w:tc>
        <w:tc>
          <w:tcPr>
            <w:tcW w:w="3609" w:type="dxa"/>
          </w:tcPr>
          <w:p w14:paraId="483FC902" w14:textId="77777777" w:rsidR="004161B9" w:rsidRPr="00810627" w:rsidRDefault="004161B9" w:rsidP="00E20A0F">
            <w:pPr>
              <w:rPr>
                <w:szCs w:val="24"/>
                <w:lang w:val="en-GB"/>
              </w:rPr>
            </w:pPr>
            <w:r w:rsidRPr="00810627">
              <w:rPr>
                <w:szCs w:val="24"/>
                <w:lang w:val="en-GB"/>
              </w:rPr>
              <w:t>Anticoagulation</w:t>
            </w:r>
          </w:p>
        </w:tc>
        <w:tc>
          <w:tcPr>
            <w:tcW w:w="3170" w:type="dxa"/>
          </w:tcPr>
          <w:p w14:paraId="17B84DD5" w14:textId="5E44FAC3" w:rsidR="004161B9" w:rsidRPr="00810627" w:rsidRDefault="004161B9" w:rsidP="00E20A0F">
            <w:pPr>
              <w:rPr>
                <w:szCs w:val="24"/>
                <w:lang w:val="en-GB"/>
              </w:rPr>
            </w:pPr>
            <w:r w:rsidRPr="00810627">
              <w:rPr>
                <w:szCs w:val="24"/>
                <w:lang w:val="en-GB"/>
              </w:rPr>
              <w:t>N/A</w:t>
            </w:r>
          </w:p>
        </w:tc>
      </w:tr>
      <w:tr w:rsidR="004161B9" w:rsidRPr="00810627" w14:paraId="363A29C2" w14:textId="148E9024" w:rsidTr="004161B9">
        <w:tc>
          <w:tcPr>
            <w:tcW w:w="3327" w:type="dxa"/>
          </w:tcPr>
          <w:p w14:paraId="125A3F68" w14:textId="77777777" w:rsidR="004161B9" w:rsidRPr="00810627" w:rsidRDefault="004161B9" w:rsidP="00E20A0F">
            <w:pPr>
              <w:rPr>
                <w:szCs w:val="24"/>
                <w:lang w:val="en-GB"/>
              </w:rPr>
            </w:pPr>
            <w:r w:rsidRPr="00810627">
              <w:rPr>
                <w:szCs w:val="24"/>
                <w:lang w:val="en-GB"/>
              </w:rPr>
              <w:t>Edoxaban</w:t>
            </w:r>
          </w:p>
        </w:tc>
        <w:tc>
          <w:tcPr>
            <w:tcW w:w="3609" w:type="dxa"/>
          </w:tcPr>
          <w:p w14:paraId="2B3F3E51" w14:textId="77777777" w:rsidR="004161B9" w:rsidRPr="00810627" w:rsidRDefault="004161B9" w:rsidP="00E20A0F">
            <w:pPr>
              <w:rPr>
                <w:szCs w:val="24"/>
                <w:lang w:val="en-GB"/>
              </w:rPr>
            </w:pPr>
            <w:r w:rsidRPr="00810627">
              <w:rPr>
                <w:szCs w:val="24"/>
                <w:lang w:val="en-GB"/>
              </w:rPr>
              <w:t>Anticoagulation</w:t>
            </w:r>
          </w:p>
        </w:tc>
        <w:tc>
          <w:tcPr>
            <w:tcW w:w="3170" w:type="dxa"/>
          </w:tcPr>
          <w:p w14:paraId="3C3C6B8D" w14:textId="1754FF22" w:rsidR="004161B9" w:rsidRPr="00810627" w:rsidRDefault="004161B9" w:rsidP="00E20A0F">
            <w:pPr>
              <w:rPr>
                <w:szCs w:val="24"/>
                <w:lang w:val="en-GB"/>
              </w:rPr>
            </w:pPr>
            <w:r w:rsidRPr="00810627">
              <w:rPr>
                <w:szCs w:val="24"/>
                <w:lang w:val="en-GB"/>
              </w:rPr>
              <w:t>N/A</w:t>
            </w:r>
          </w:p>
        </w:tc>
      </w:tr>
      <w:tr w:rsidR="004161B9" w:rsidRPr="00810627" w14:paraId="2CCA091A" w14:textId="74F6DC15" w:rsidTr="004161B9">
        <w:tc>
          <w:tcPr>
            <w:tcW w:w="3327" w:type="dxa"/>
          </w:tcPr>
          <w:p w14:paraId="7060BE82" w14:textId="77777777" w:rsidR="004161B9" w:rsidRPr="00810627" w:rsidRDefault="004161B9" w:rsidP="00E20A0F">
            <w:pPr>
              <w:rPr>
                <w:szCs w:val="24"/>
                <w:lang w:val="en-GB"/>
              </w:rPr>
            </w:pPr>
            <w:r w:rsidRPr="00810627">
              <w:rPr>
                <w:szCs w:val="24"/>
                <w:lang w:val="en-GB"/>
              </w:rPr>
              <w:t>Rivaroxaban</w:t>
            </w:r>
          </w:p>
        </w:tc>
        <w:tc>
          <w:tcPr>
            <w:tcW w:w="3609" w:type="dxa"/>
          </w:tcPr>
          <w:p w14:paraId="4A79628F" w14:textId="77777777" w:rsidR="004161B9" w:rsidRPr="00810627" w:rsidRDefault="004161B9" w:rsidP="00E20A0F">
            <w:pPr>
              <w:rPr>
                <w:szCs w:val="24"/>
                <w:lang w:val="en-GB"/>
              </w:rPr>
            </w:pPr>
            <w:r w:rsidRPr="00810627">
              <w:rPr>
                <w:szCs w:val="24"/>
                <w:lang w:val="en-GB"/>
              </w:rPr>
              <w:t>Anticoagulation</w:t>
            </w:r>
          </w:p>
        </w:tc>
        <w:tc>
          <w:tcPr>
            <w:tcW w:w="3170" w:type="dxa"/>
          </w:tcPr>
          <w:p w14:paraId="3D6605FE" w14:textId="32CC6B3B" w:rsidR="004161B9" w:rsidRPr="00810627" w:rsidRDefault="004161B9" w:rsidP="00E20A0F">
            <w:pPr>
              <w:rPr>
                <w:szCs w:val="24"/>
                <w:lang w:val="en-GB"/>
              </w:rPr>
            </w:pPr>
            <w:r w:rsidRPr="00810627">
              <w:rPr>
                <w:szCs w:val="24"/>
                <w:lang w:val="en-GB"/>
              </w:rPr>
              <w:t>N/A</w:t>
            </w:r>
          </w:p>
        </w:tc>
      </w:tr>
      <w:tr w:rsidR="004161B9" w:rsidRPr="00810627" w14:paraId="0B53D2CA" w14:textId="0E00BE90" w:rsidTr="004161B9">
        <w:tc>
          <w:tcPr>
            <w:tcW w:w="3327" w:type="dxa"/>
          </w:tcPr>
          <w:p w14:paraId="7F19D476" w14:textId="51C10915" w:rsidR="004161B9" w:rsidRPr="00810627" w:rsidRDefault="004161B9" w:rsidP="00E20A0F">
            <w:pPr>
              <w:rPr>
                <w:szCs w:val="24"/>
                <w:lang w:val="en-GB"/>
              </w:rPr>
            </w:pPr>
            <w:r w:rsidRPr="00810627">
              <w:rPr>
                <w:szCs w:val="24"/>
                <w:lang w:val="en-GB"/>
              </w:rPr>
              <w:t xml:space="preserve">Tinzaparin </w:t>
            </w:r>
          </w:p>
        </w:tc>
        <w:tc>
          <w:tcPr>
            <w:tcW w:w="3609" w:type="dxa"/>
          </w:tcPr>
          <w:p w14:paraId="1CF8AEBA" w14:textId="5B2336E8" w:rsidR="004161B9" w:rsidRPr="00810627" w:rsidRDefault="004161B9" w:rsidP="0003750E">
            <w:pPr>
              <w:rPr>
                <w:szCs w:val="24"/>
                <w:lang w:val="en-GB"/>
              </w:rPr>
            </w:pPr>
            <w:r w:rsidRPr="00810627">
              <w:rPr>
                <w:szCs w:val="24"/>
                <w:lang w:val="en-GB"/>
              </w:rPr>
              <w:t>Sub-therapeutic INR, DVT bridging, VTE in cancer</w:t>
            </w:r>
          </w:p>
        </w:tc>
        <w:tc>
          <w:tcPr>
            <w:tcW w:w="3170" w:type="dxa"/>
          </w:tcPr>
          <w:p w14:paraId="4D9B5342" w14:textId="673A92E5" w:rsidR="004161B9" w:rsidRPr="00810627" w:rsidRDefault="004161B9" w:rsidP="0003750E">
            <w:pPr>
              <w:rPr>
                <w:szCs w:val="24"/>
                <w:lang w:val="en-GB"/>
              </w:rPr>
            </w:pPr>
            <w:r w:rsidRPr="00810627">
              <w:rPr>
                <w:szCs w:val="24"/>
                <w:lang w:val="en-GB"/>
              </w:rPr>
              <w:t>N/A</w:t>
            </w:r>
          </w:p>
        </w:tc>
      </w:tr>
      <w:tr w:rsidR="004161B9" w:rsidRPr="00810627" w14:paraId="21169949" w14:textId="5AD5E69D" w:rsidTr="004161B9">
        <w:tc>
          <w:tcPr>
            <w:tcW w:w="3327" w:type="dxa"/>
          </w:tcPr>
          <w:p w14:paraId="57A7DF06" w14:textId="53E5715B" w:rsidR="004161B9" w:rsidRPr="00810627" w:rsidRDefault="004161B9" w:rsidP="00E20A0F">
            <w:pPr>
              <w:rPr>
                <w:szCs w:val="24"/>
                <w:lang w:val="en-GB"/>
              </w:rPr>
            </w:pPr>
            <w:r w:rsidRPr="00810627">
              <w:rPr>
                <w:szCs w:val="24"/>
                <w:lang w:val="en-GB"/>
              </w:rPr>
              <w:t>Enoxaparin</w:t>
            </w:r>
          </w:p>
        </w:tc>
        <w:tc>
          <w:tcPr>
            <w:tcW w:w="3609" w:type="dxa"/>
          </w:tcPr>
          <w:p w14:paraId="5E23DE5E" w14:textId="47901D5E" w:rsidR="004161B9" w:rsidRPr="00810627" w:rsidRDefault="004161B9" w:rsidP="00E20A0F">
            <w:pPr>
              <w:rPr>
                <w:szCs w:val="24"/>
                <w:lang w:val="en-GB"/>
              </w:rPr>
            </w:pPr>
            <w:r w:rsidRPr="00810627">
              <w:rPr>
                <w:szCs w:val="24"/>
                <w:lang w:val="en-GB"/>
              </w:rPr>
              <w:t>Sub-therapeutic INR, DVT bridging, VTE in cancer</w:t>
            </w:r>
          </w:p>
        </w:tc>
        <w:tc>
          <w:tcPr>
            <w:tcW w:w="3170" w:type="dxa"/>
          </w:tcPr>
          <w:p w14:paraId="5AFCF47E" w14:textId="4D223A93" w:rsidR="004161B9" w:rsidRPr="00810627" w:rsidRDefault="004161B9" w:rsidP="00E20A0F">
            <w:pPr>
              <w:rPr>
                <w:szCs w:val="24"/>
                <w:lang w:val="en-GB"/>
              </w:rPr>
            </w:pPr>
            <w:r w:rsidRPr="00810627">
              <w:rPr>
                <w:szCs w:val="24"/>
                <w:lang w:val="en-GB"/>
              </w:rPr>
              <w:t>N/A</w:t>
            </w:r>
          </w:p>
        </w:tc>
      </w:tr>
      <w:tr w:rsidR="004161B9" w:rsidRPr="00810627" w14:paraId="307B9290" w14:textId="353C6F59" w:rsidTr="004161B9">
        <w:tc>
          <w:tcPr>
            <w:tcW w:w="3327" w:type="dxa"/>
          </w:tcPr>
          <w:p w14:paraId="5DCBEFAD" w14:textId="77777777" w:rsidR="004161B9" w:rsidRPr="00810627" w:rsidRDefault="004161B9" w:rsidP="00E20A0F">
            <w:pPr>
              <w:rPr>
                <w:szCs w:val="24"/>
                <w:lang w:val="en-GB"/>
              </w:rPr>
            </w:pPr>
            <w:r w:rsidRPr="00810627">
              <w:rPr>
                <w:szCs w:val="24"/>
                <w:lang w:val="en-GB"/>
              </w:rPr>
              <w:t>Amiodarone</w:t>
            </w:r>
          </w:p>
        </w:tc>
        <w:tc>
          <w:tcPr>
            <w:tcW w:w="3609" w:type="dxa"/>
          </w:tcPr>
          <w:p w14:paraId="73B6B9C1" w14:textId="77777777" w:rsidR="004161B9" w:rsidRPr="00810627" w:rsidRDefault="004161B9" w:rsidP="00E20A0F">
            <w:pPr>
              <w:rPr>
                <w:szCs w:val="24"/>
                <w:lang w:val="en-GB"/>
              </w:rPr>
            </w:pPr>
            <w:r w:rsidRPr="00810627">
              <w:rPr>
                <w:szCs w:val="24"/>
                <w:lang w:val="en-GB"/>
              </w:rPr>
              <w:t>Cardiac rhythm disorders in adults</w:t>
            </w:r>
          </w:p>
        </w:tc>
        <w:tc>
          <w:tcPr>
            <w:tcW w:w="3170" w:type="dxa"/>
          </w:tcPr>
          <w:p w14:paraId="6A88808C" w14:textId="352DFC02" w:rsidR="004161B9" w:rsidRPr="00810627" w:rsidRDefault="004161B9" w:rsidP="00E20A0F">
            <w:pPr>
              <w:rPr>
                <w:szCs w:val="24"/>
                <w:lang w:val="en-GB"/>
              </w:rPr>
            </w:pPr>
            <w:r w:rsidRPr="00810627">
              <w:rPr>
                <w:szCs w:val="24"/>
                <w:lang w:val="en-GB"/>
              </w:rPr>
              <w:t>ESCA</w:t>
            </w:r>
          </w:p>
        </w:tc>
      </w:tr>
      <w:tr w:rsidR="004161B9" w:rsidRPr="00810627" w14:paraId="42794CA1" w14:textId="11B86530" w:rsidTr="004161B9">
        <w:tc>
          <w:tcPr>
            <w:tcW w:w="3327" w:type="dxa"/>
          </w:tcPr>
          <w:p w14:paraId="0FB27D40" w14:textId="77777777" w:rsidR="004161B9" w:rsidRPr="00810627" w:rsidRDefault="004161B9" w:rsidP="00E20A0F">
            <w:pPr>
              <w:rPr>
                <w:szCs w:val="24"/>
                <w:lang w:val="en-GB"/>
              </w:rPr>
            </w:pPr>
            <w:r w:rsidRPr="00810627">
              <w:rPr>
                <w:szCs w:val="24"/>
                <w:lang w:val="en-GB"/>
              </w:rPr>
              <w:t xml:space="preserve">Dronedarone </w:t>
            </w:r>
          </w:p>
        </w:tc>
        <w:tc>
          <w:tcPr>
            <w:tcW w:w="3609" w:type="dxa"/>
          </w:tcPr>
          <w:p w14:paraId="4D7BB90C" w14:textId="77777777" w:rsidR="004161B9" w:rsidRPr="00810627" w:rsidRDefault="004161B9" w:rsidP="00E20A0F">
            <w:pPr>
              <w:rPr>
                <w:szCs w:val="24"/>
                <w:lang w:val="en-GB"/>
              </w:rPr>
            </w:pPr>
            <w:r w:rsidRPr="00810627">
              <w:rPr>
                <w:szCs w:val="24"/>
                <w:lang w:val="en-GB"/>
              </w:rPr>
              <w:t xml:space="preserve">Non-Permanent Atrial Fibrillation (AF) </w:t>
            </w:r>
          </w:p>
        </w:tc>
        <w:tc>
          <w:tcPr>
            <w:tcW w:w="3170" w:type="dxa"/>
          </w:tcPr>
          <w:p w14:paraId="6A0E8C3F" w14:textId="4029B411" w:rsidR="004161B9" w:rsidRPr="00810627" w:rsidRDefault="004161B9" w:rsidP="00E20A0F">
            <w:pPr>
              <w:rPr>
                <w:szCs w:val="24"/>
                <w:lang w:val="en-GB"/>
              </w:rPr>
            </w:pPr>
            <w:r w:rsidRPr="00810627">
              <w:rPr>
                <w:szCs w:val="24"/>
                <w:lang w:val="en-GB"/>
              </w:rPr>
              <w:t>ESCA</w:t>
            </w:r>
          </w:p>
        </w:tc>
      </w:tr>
      <w:tr w:rsidR="004161B9" w:rsidRPr="00810627" w14:paraId="1677D9CC" w14:textId="4B27345D" w:rsidTr="004161B9">
        <w:tc>
          <w:tcPr>
            <w:tcW w:w="3327" w:type="dxa"/>
          </w:tcPr>
          <w:p w14:paraId="11119D79" w14:textId="0EEB23E1" w:rsidR="004161B9" w:rsidRPr="00810627" w:rsidRDefault="004161B9" w:rsidP="00E20A0F">
            <w:pPr>
              <w:rPr>
                <w:szCs w:val="24"/>
                <w:lang w:val="en-GB"/>
              </w:rPr>
            </w:pPr>
            <w:r w:rsidRPr="00810627">
              <w:rPr>
                <w:szCs w:val="24"/>
                <w:lang w:val="en-GB"/>
              </w:rPr>
              <w:t>Sacubutril/Valsartan</w:t>
            </w:r>
          </w:p>
        </w:tc>
        <w:tc>
          <w:tcPr>
            <w:tcW w:w="3609" w:type="dxa"/>
          </w:tcPr>
          <w:p w14:paraId="6BD2F116" w14:textId="6D9607A6" w:rsidR="004161B9" w:rsidRPr="00810627" w:rsidRDefault="004161B9" w:rsidP="00E20A0F">
            <w:pPr>
              <w:rPr>
                <w:szCs w:val="24"/>
                <w:lang w:val="en-GB"/>
              </w:rPr>
            </w:pPr>
            <w:r w:rsidRPr="00810627">
              <w:rPr>
                <w:szCs w:val="24"/>
                <w:lang w:val="en-GB"/>
              </w:rPr>
              <w:t>Heart failure once stabilised</w:t>
            </w:r>
          </w:p>
        </w:tc>
        <w:tc>
          <w:tcPr>
            <w:tcW w:w="3170" w:type="dxa"/>
          </w:tcPr>
          <w:p w14:paraId="3A10A7B5" w14:textId="1AEDB3C4" w:rsidR="004161B9" w:rsidRPr="00810627" w:rsidRDefault="004161B9" w:rsidP="00E20A0F">
            <w:pPr>
              <w:rPr>
                <w:szCs w:val="24"/>
                <w:lang w:val="en-GB"/>
              </w:rPr>
            </w:pPr>
            <w:r w:rsidRPr="00810627">
              <w:rPr>
                <w:szCs w:val="24"/>
                <w:lang w:val="en-GB"/>
              </w:rPr>
              <w:t>PID</w:t>
            </w:r>
          </w:p>
        </w:tc>
      </w:tr>
      <w:tr w:rsidR="004161B9" w:rsidRPr="00810627" w14:paraId="4BE9781F" w14:textId="2BFE8F04" w:rsidTr="004161B9">
        <w:tc>
          <w:tcPr>
            <w:tcW w:w="3327" w:type="dxa"/>
          </w:tcPr>
          <w:p w14:paraId="427D9AC0" w14:textId="77777777" w:rsidR="004161B9" w:rsidRPr="00810627" w:rsidRDefault="004161B9" w:rsidP="00E20A0F">
            <w:pPr>
              <w:rPr>
                <w:szCs w:val="24"/>
                <w:lang w:val="en-GB"/>
              </w:rPr>
            </w:pPr>
            <w:r w:rsidRPr="00810627">
              <w:rPr>
                <w:szCs w:val="24"/>
                <w:lang w:val="en-GB"/>
              </w:rPr>
              <w:t xml:space="preserve">Rivastigmine </w:t>
            </w:r>
          </w:p>
        </w:tc>
        <w:tc>
          <w:tcPr>
            <w:tcW w:w="3609" w:type="dxa"/>
          </w:tcPr>
          <w:p w14:paraId="67A67E8E" w14:textId="77777777" w:rsidR="004161B9" w:rsidRPr="00810627" w:rsidRDefault="004161B9" w:rsidP="00E20A0F">
            <w:pPr>
              <w:rPr>
                <w:szCs w:val="24"/>
                <w:lang w:val="en-GB"/>
              </w:rPr>
            </w:pPr>
            <w:r w:rsidRPr="00810627">
              <w:rPr>
                <w:szCs w:val="24"/>
                <w:lang w:val="en-GB"/>
              </w:rPr>
              <w:t>Dementia</w:t>
            </w:r>
          </w:p>
        </w:tc>
        <w:tc>
          <w:tcPr>
            <w:tcW w:w="3170" w:type="dxa"/>
          </w:tcPr>
          <w:p w14:paraId="5FC15223" w14:textId="00684176" w:rsidR="004161B9" w:rsidRPr="00810627" w:rsidRDefault="004161B9" w:rsidP="00E20A0F">
            <w:pPr>
              <w:rPr>
                <w:szCs w:val="24"/>
                <w:lang w:val="en-GB"/>
              </w:rPr>
            </w:pPr>
            <w:r w:rsidRPr="00810627">
              <w:rPr>
                <w:szCs w:val="24"/>
                <w:lang w:val="en-GB"/>
              </w:rPr>
              <w:t>ESCA</w:t>
            </w:r>
          </w:p>
        </w:tc>
      </w:tr>
      <w:tr w:rsidR="004161B9" w:rsidRPr="00810627" w14:paraId="2B5CFEB9" w14:textId="1678DFB6" w:rsidTr="004161B9">
        <w:tc>
          <w:tcPr>
            <w:tcW w:w="3327" w:type="dxa"/>
          </w:tcPr>
          <w:p w14:paraId="56B21C1F" w14:textId="77777777" w:rsidR="004161B9" w:rsidRPr="00810627" w:rsidRDefault="004161B9" w:rsidP="00E20A0F">
            <w:pPr>
              <w:rPr>
                <w:szCs w:val="24"/>
                <w:lang w:val="en-GB"/>
              </w:rPr>
            </w:pPr>
            <w:r w:rsidRPr="00810627">
              <w:rPr>
                <w:szCs w:val="24"/>
                <w:lang w:val="en-GB"/>
              </w:rPr>
              <w:t>Galantamine</w:t>
            </w:r>
          </w:p>
        </w:tc>
        <w:tc>
          <w:tcPr>
            <w:tcW w:w="3609" w:type="dxa"/>
          </w:tcPr>
          <w:p w14:paraId="09EDA975" w14:textId="77777777" w:rsidR="004161B9" w:rsidRPr="00810627" w:rsidRDefault="004161B9" w:rsidP="00E20A0F">
            <w:pPr>
              <w:rPr>
                <w:szCs w:val="24"/>
                <w:lang w:val="en-GB"/>
              </w:rPr>
            </w:pPr>
            <w:r w:rsidRPr="00810627">
              <w:rPr>
                <w:szCs w:val="24"/>
                <w:lang w:val="en-GB"/>
              </w:rPr>
              <w:t>Dementia</w:t>
            </w:r>
          </w:p>
        </w:tc>
        <w:tc>
          <w:tcPr>
            <w:tcW w:w="3170" w:type="dxa"/>
          </w:tcPr>
          <w:p w14:paraId="362AF82C" w14:textId="3AA3FB5F" w:rsidR="004161B9" w:rsidRPr="00810627" w:rsidRDefault="004161B9" w:rsidP="00E20A0F">
            <w:pPr>
              <w:rPr>
                <w:szCs w:val="24"/>
                <w:lang w:val="en-GB"/>
              </w:rPr>
            </w:pPr>
            <w:r w:rsidRPr="00810627">
              <w:rPr>
                <w:szCs w:val="24"/>
                <w:lang w:val="en-GB"/>
              </w:rPr>
              <w:t>ESCA</w:t>
            </w:r>
          </w:p>
        </w:tc>
      </w:tr>
      <w:tr w:rsidR="004161B9" w:rsidRPr="00810627" w14:paraId="0755D322" w14:textId="297F8C86" w:rsidTr="004161B9">
        <w:tc>
          <w:tcPr>
            <w:tcW w:w="3327" w:type="dxa"/>
          </w:tcPr>
          <w:p w14:paraId="29A4D2AE" w14:textId="77777777" w:rsidR="004161B9" w:rsidRPr="00810627" w:rsidRDefault="004161B9" w:rsidP="00E20A0F">
            <w:pPr>
              <w:rPr>
                <w:szCs w:val="24"/>
                <w:lang w:val="en-GB"/>
              </w:rPr>
            </w:pPr>
            <w:r w:rsidRPr="00810627">
              <w:rPr>
                <w:szCs w:val="24"/>
                <w:lang w:val="en-GB"/>
              </w:rPr>
              <w:t>Memantine</w:t>
            </w:r>
          </w:p>
        </w:tc>
        <w:tc>
          <w:tcPr>
            <w:tcW w:w="3609" w:type="dxa"/>
          </w:tcPr>
          <w:p w14:paraId="33331E06" w14:textId="77777777" w:rsidR="004161B9" w:rsidRPr="00810627" w:rsidRDefault="004161B9" w:rsidP="00E20A0F">
            <w:pPr>
              <w:rPr>
                <w:szCs w:val="24"/>
                <w:lang w:val="en-GB"/>
              </w:rPr>
            </w:pPr>
            <w:r w:rsidRPr="00810627">
              <w:rPr>
                <w:szCs w:val="24"/>
                <w:lang w:val="en-GB"/>
              </w:rPr>
              <w:t>Dementia</w:t>
            </w:r>
          </w:p>
        </w:tc>
        <w:tc>
          <w:tcPr>
            <w:tcW w:w="3170" w:type="dxa"/>
          </w:tcPr>
          <w:p w14:paraId="1D3EB0AC" w14:textId="3FEF4B7F" w:rsidR="004161B9" w:rsidRPr="00810627" w:rsidRDefault="004161B9" w:rsidP="00E20A0F">
            <w:pPr>
              <w:rPr>
                <w:szCs w:val="24"/>
                <w:lang w:val="en-GB"/>
              </w:rPr>
            </w:pPr>
            <w:r w:rsidRPr="00810627">
              <w:rPr>
                <w:szCs w:val="24"/>
                <w:lang w:val="en-GB"/>
              </w:rPr>
              <w:t>ESCA</w:t>
            </w:r>
          </w:p>
        </w:tc>
      </w:tr>
      <w:tr w:rsidR="004161B9" w:rsidRPr="00810627" w14:paraId="4877036C" w14:textId="090C6E9C" w:rsidTr="004161B9">
        <w:tc>
          <w:tcPr>
            <w:tcW w:w="3327" w:type="dxa"/>
          </w:tcPr>
          <w:p w14:paraId="02917E12" w14:textId="77777777" w:rsidR="004161B9" w:rsidRPr="00810627" w:rsidRDefault="004161B9" w:rsidP="00E20A0F">
            <w:pPr>
              <w:rPr>
                <w:szCs w:val="24"/>
                <w:lang w:val="en-GB"/>
              </w:rPr>
            </w:pPr>
            <w:r w:rsidRPr="00810627">
              <w:rPr>
                <w:szCs w:val="24"/>
                <w:lang w:val="en-GB"/>
              </w:rPr>
              <w:t>Donepezil</w:t>
            </w:r>
          </w:p>
        </w:tc>
        <w:tc>
          <w:tcPr>
            <w:tcW w:w="3609" w:type="dxa"/>
          </w:tcPr>
          <w:p w14:paraId="229E2D4A" w14:textId="77777777" w:rsidR="004161B9" w:rsidRPr="00810627" w:rsidRDefault="004161B9" w:rsidP="00E20A0F">
            <w:pPr>
              <w:rPr>
                <w:szCs w:val="24"/>
                <w:lang w:val="en-GB"/>
              </w:rPr>
            </w:pPr>
            <w:r w:rsidRPr="00810627">
              <w:rPr>
                <w:szCs w:val="24"/>
                <w:lang w:val="en-GB"/>
              </w:rPr>
              <w:t>Dementia</w:t>
            </w:r>
          </w:p>
        </w:tc>
        <w:tc>
          <w:tcPr>
            <w:tcW w:w="3170" w:type="dxa"/>
          </w:tcPr>
          <w:p w14:paraId="3CFC0C05" w14:textId="5A302326" w:rsidR="004161B9" w:rsidRPr="00810627" w:rsidRDefault="004161B9" w:rsidP="00E20A0F">
            <w:pPr>
              <w:rPr>
                <w:szCs w:val="24"/>
                <w:lang w:val="en-GB"/>
              </w:rPr>
            </w:pPr>
            <w:r w:rsidRPr="00810627">
              <w:rPr>
                <w:szCs w:val="24"/>
                <w:lang w:val="en-GB"/>
              </w:rPr>
              <w:t>ESCA</w:t>
            </w:r>
          </w:p>
        </w:tc>
      </w:tr>
      <w:tr w:rsidR="004161B9" w:rsidRPr="00810627" w14:paraId="2A1984EC" w14:textId="2C66023F" w:rsidTr="004161B9">
        <w:tc>
          <w:tcPr>
            <w:tcW w:w="3327" w:type="dxa"/>
          </w:tcPr>
          <w:p w14:paraId="18CB23AC" w14:textId="77777777" w:rsidR="004161B9" w:rsidRPr="00810627" w:rsidRDefault="004161B9" w:rsidP="00E20A0F">
            <w:pPr>
              <w:rPr>
                <w:szCs w:val="24"/>
                <w:lang w:val="en-GB"/>
              </w:rPr>
            </w:pPr>
            <w:r w:rsidRPr="00810627">
              <w:rPr>
                <w:szCs w:val="24"/>
                <w:lang w:val="en-GB"/>
              </w:rPr>
              <w:t xml:space="preserve">Denosumab </w:t>
            </w:r>
          </w:p>
        </w:tc>
        <w:tc>
          <w:tcPr>
            <w:tcW w:w="3609" w:type="dxa"/>
          </w:tcPr>
          <w:p w14:paraId="4424445E" w14:textId="77777777" w:rsidR="004161B9" w:rsidRPr="00810627" w:rsidRDefault="004161B9" w:rsidP="00E20A0F">
            <w:pPr>
              <w:rPr>
                <w:szCs w:val="24"/>
                <w:lang w:val="en-GB"/>
              </w:rPr>
            </w:pPr>
            <w:r w:rsidRPr="00810627">
              <w:rPr>
                <w:szCs w:val="24"/>
                <w:lang w:val="en-GB"/>
              </w:rPr>
              <w:t>Osteoporosis</w:t>
            </w:r>
          </w:p>
        </w:tc>
        <w:tc>
          <w:tcPr>
            <w:tcW w:w="3170" w:type="dxa"/>
          </w:tcPr>
          <w:p w14:paraId="6070E9FA" w14:textId="1F6F6377" w:rsidR="004161B9" w:rsidRPr="00810627" w:rsidRDefault="00911A75" w:rsidP="00E20A0F">
            <w:pPr>
              <w:rPr>
                <w:szCs w:val="24"/>
                <w:lang w:val="en-GB"/>
              </w:rPr>
            </w:pPr>
            <w:r w:rsidRPr="00810627">
              <w:rPr>
                <w:szCs w:val="24"/>
                <w:lang w:val="en-GB"/>
              </w:rPr>
              <w:t>ESCA</w:t>
            </w:r>
          </w:p>
        </w:tc>
      </w:tr>
      <w:tr w:rsidR="004161B9" w:rsidRPr="00810627" w14:paraId="4E407424" w14:textId="66CCF369" w:rsidTr="004161B9">
        <w:tc>
          <w:tcPr>
            <w:tcW w:w="3327" w:type="dxa"/>
          </w:tcPr>
          <w:p w14:paraId="300D262E" w14:textId="77777777" w:rsidR="004161B9" w:rsidRPr="00810627" w:rsidRDefault="004161B9" w:rsidP="00E20A0F">
            <w:pPr>
              <w:rPr>
                <w:szCs w:val="24"/>
                <w:lang w:val="en-GB"/>
              </w:rPr>
            </w:pPr>
            <w:r w:rsidRPr="00810627">
              <w:rPr>
                <w:szCs w:val="24"/>
                <w:lang w:val="en-GB"/>
              </w:rPr>
              <w:t xml:space="preserve">Azathioprine </w:t>
            </w:r>
          </w:p>
        </w:tc>
        <w:tc>
          <w:tcPr>
            <w:tcW w:w="3609" w:type="dxa"/>
          </w:tcPr>
          <w:p w14:paraId="037E8164" w14:textId="77777777" w:rsidR="004161B9" w:rsidRPr="00810627" w:rsidRDefault="004161B9" w:rsidP="00E20A0F">
            <w:pPr>
              <w:rPr>
                <w:szCs w:val="24"/>
                <w:lang w:val="en-GB"/>
              </w:rPr>
            </w:pPr>
            <w:r w:rsidRPr="00810627">
              <w:rPr>
                <w:szCs w:val="24"/>
                <w:lang w:val="en-GB"/>
              </w:rPr>
              <w:t xml:space="preserve">DMARDs for all licensed indications </w:t>
            </w:r>
          </w:p>
        </w:tc>
        <w:tc>
          <w:tcPr>
            <w:tcW w:w="3170" w:type="dxa"/>
          </w:tcPr>
          <w:p w14:paraId="5FA2E9F2" w14:textId="0F478C39" w:rsidR="004161B9" w:rsidRPr="00810627" w:rsidRDefault="00911A75" w:rsidP="00E20A0F">
            <w:pPr>
              <w:rPr>
                <w:szCs w:val="24"/>
                <w:lang w:val="en-GB"/>
              </w:rPr>
            </w:pPr>
            <w:r w:rsidRPr="00810627">
              <w:rPr>
                <w:szCs w:val="24"/>
                <w:lang w:val="en-GB"/>
              </w:rPr>
              <w:t>ESCA</w:t>
            </w:r>
          </w:p>
        </w:tc>
      </w:tr>
      <w:tr w:rsidR="004161B9" w:rsidRPr="00810627" w14:paraId="2FCC3899" w14:textId="07F5CAD9" w:rsidTr="004161B9">
        <w:tc>
          <w:tcPr>
            <w:tcW w:w="3327" w:type="dxa"/>
          </w:tcPr>
          <w:p w14:paraId="19B46EE9" w14:textId="77777777" w:rsidR="004161B9" w:rsidRPr="00810627" w:rsidRDefault="004161B9" w:rsidP="00E20A0F">
            <w:pPr>
              <w:rPr>
                <w:szCs w:val="24"/>
                <w:lang w:val="en-GB"/>
              </w:rPr>
            </w:pPr>
            <w:r w:rsidRPr="00810627">
              <w:rPr>
                <w:szCs w:val="24"/>
                <w:lang w:val="en-GB"/>
              </w:rPr>
              <w:t xml:space="preserve">Ciclosporin </w:t>
            </w:r>
          </w:p>
        </w:tc>
        <w:tc>
          <w:tcPr>
            <w:tcW w:w="3609" w:type="dxa"/>
          </w:tcPr>
          <w:p w14:paraId="3A0F8E5A" w14:textId="77777777" w:rsidR="004161B9" w:rsidRPr="00810627" w:rsidRDefault="004161B9" w:rsidP="00E20A0F">
            <w:pPr>
              <w:rPr>
                <w:szCs w:val="24"/>
                <w:lang w:val="en-GB"/>
              </w:rPr>
            </w:pPr>
            <w:r w:rsidRPr="00810627">
              <w:rPr>
                <w:szCs w:val="24"/>
                <w:lang w:val="en-GB"/>
              </w:rPr>
              <w:t>DMARDs</w:t>
            </w:r>
          </w:p>
        </w:tc>
        <w:tc>
          <w:tcPr>
            <w:tcW w:w="3170" w:type="dxa"/>
          </w:tcPr>
          <w:p w14:paraId="7B73A9D1" w14:textId="634F73FF" w:rsidR="004161B9" w:rsidRPr="00810627" w:rsidRDefault="00911A75" w:rsidP="00E20A0F">
            <w:pPr>
              <w:rPr>
                <w:szCs w:val="24"/>
                <w:lang w:val="en-GB"/>
              </w:rPr>
            </w:pPr>
            <w:r w:rsidRPr="00810627">
              <w:rPr>
                <w:szCs w:val="24"/>
                <w:lang w:val="en-GB"/>
              </w:rPr>
              <w:t>ESCA</w:t>
            </w:r>
          </w:p>
        </w:tc>
      </w:tr>
      <w:tr w:rsidR="004161B9" w:rsidRPr="00810627" w14:paraId="75893BC4" w14:textId="1F469F9A" w:rsidTr="004161B9">
        <w:tc>
          <w:tcPr>
            <w:tcW w:w="3327" w:type="dxa"/>
          </w:tcPr>
          <w:p w14:paraId="48A40499" w14:textId="77777777" w:rsidR="004161B9" w:rsidRPr="00810627" w:rsidRDefault="004161B9" w:rsidP="00E20A0F">
            <w:pPr>
              <w:rPr>
                <w:szCs w:val="24"/>
                <w:lang w:val="en-GB"/>
              </w:rPr>
            </w:pPr>
            <w:r w:rsidRPr="00810627">
              <w:rPr>
                <w:szCs w:val="24"/>
                <w:lang w:val="en-GB"/>
              </w:rPr>
              <w:t>Dapsone</w:t>
            </w:r>
          </w:p>
        </w:tc>
        <w:tc>
          <w:tcPr>
            <w:tcW w:w="3609" w:type="dxa"/>
          </w:tcPr>
          <w:p w14:paraId="57513234" w14:textId="77777777" w:rsidR="004161B9" w:rsidRPr="00810627" w:rsidRDefault="004161B9" w:rsidP="00E20A0F">
            <w:pPr>
              <w:rPr>
                <w:szCs w:val="24"/>
                <w:lang w:val="en-GB"/>
              </w:rPr>
            </w:pPr>
            <w:r w:rsidRPr="00810627">
              <w:rPr>
                <w:szCs w:val="24"/>
                <w:lang w:val="en-GB"/>
              </w:rPr>
              <w:t>DMARDs</w:t>
            </w:r>
          </w:p>
        </w:tc>
        <w:tc>
          <w:tcPr>
            <w:tcW w:w="3170" w:type="dxa"/>
          </w:tcPr>
          <w:p w14:paraId="7365A757" w14:textId="7A21E316" w:rsidR="004161B9" w:rsidRPr="00810627" w:rsidRDefault="00911A75" w:rsidP="00E20A0F">
            <w:pPr>
              <w:rPr>
                <w:szCs w:val="24"/>
                <w:lang w:val="en-GB"/>
              </w:rPr>
            </w:pPr>
            <w:r w:rsidRPr="00810627">
              <w:rPr>
                <w:szCs w:val="24"/>
                <w:lang w:val="en-GB"/>
              </w:rPr>
              <w:t>ESCA</w:t>
            </w:r>
          </w:p>
        </w:tc>
      </w:tr>
      <w:tr w:rsidR="004161B9" w:rsidRPr="00810627" w14:paraId="6A2DDA49" w14:textId="1DD1B0FD" w:rsidTr="004161B9">
        <w:tc>
          <w:tcPr>
            <w:tcW w:w="3327" w:type="dxa"/>
          </w:tcPr>
          <w:p w14:paraId="2CC6CB7C" w14:textId="46A979F5" w:rsidR="004161B9" w:rsidRPr="00810627" w:rsidRDefault="004161B9" w:rsidP="00E20A0F">
            <w:pPr>
              <w:rPr>
                <w:szCs w:val="24"/>
              </w:rPr>
            </w:pPr>
            <w:r w:rsidRPr="00810627">
              <w:rPr>
                <w:szCs w:val="24"/>
              </w:rPr>
              <w:t>5-Aminosalicylates – Balsalazide, Mesalazine and Olsalazine</w:t>
            </w:r>
          </w:p>
        </w:tc>
        <w:tc>
          <w:tcPr>
            <w:tcW w:w="3609" w:type="dxa"/>
          </w:tcPr>
          <w:p w14:paraId="6179227F" w14:textId="228D6DB0" w:rsidR="004161B9" w:rsidRPr="00810627" w:rsidRDefault="004161B9" w:rsidP="00E20A0F">
            <w:pPr>
              <w:rPr>
                <w:szCs w:val="24"/>
                <w:lang w:val="en-GB"/>
              </w:rPr>
            </w:pPr>
            <w:r w:rsidRPr="00810627">
              <w:rPr>
                <w:szCs w:val="24"/>
                <w:lang w:val="en-GB"/>
              </w:rPr>
              <w:t>DMARDs</w:t>
            </w:r>
          </w:p>
        </w:tc>
        <w:tc>
          <w:tcPr>
            <w:tcW w:w="3170" w:type="dxa"/>
          </w:tcPr>
          <w:p w14:paraId="107FA178" w14:textId="0111C0F3" w:rsidR="004161B9" w:rsidRPr="00810627" w:rsidRDefault="00911A75" w:rsidP="00E20A0F">
            <w:pPr>
              <w:rPr>
                <w:szCs w:val="24"/>
                <w:lang w:val="en-GB"/>
              </w:rPr>
            </w:pPr>
            <w:r w:rsidRPr="00810627">
              <w:rPr>
                <w:szCs w:val="24"/>
                <w:lang w:val="en-GB"/>
              </w:rPr>
              <w:t>ESCA</w:t>
            </w:r>
          </w:p>
        </w:tc>
      </w:tr>
      <w:tr w:rsidR="004161B9" w:rsidRPr="00810627" w14:paraId="2A6763B7" w14:textId="0B623DFB" w:rsidTr="004161B9">
        <w:tc>
          <w:tcPr>
            <w:tcW w:w="3327" w:type="dxa"/>
          </w:tcPr>
          <w:p w14:paraId="7C1C19CD" w14:textId="77777777" w:rsidR="004161B9" w:rsidRPr="00810627" w:rsidRDefault="004161B9" w:rsidP="00E20A0F">
            <w:pPr>
              <w:rPr>
                <w:szCs w:val="24"/>
                <w:lang w:val="en-GB"/>
              </w:rPr>
            </w:pPr>
            <w:r w:rsidRPr="00810627">
              <w:rPr>
                <w:szCs w:val="24"/>
                <w:lang w:val="en-GB"/>
              </w:rPr>
              <w:t>Penicillamine</w:t>
            </w:r>
          </w:p>
        </w:tc>
        <w:tc>
          <w:tcPr>
            <w:tcW w:w="3609" w:type="dxa"/>
          </w:tcPr>
          <w:p w14:paraId="5D16D444" w14:textId="77777777" w:rsidR="004161B9" w:rsidRPr="00810627" w:rsidRDefault="004161B9" w:rsidP="00E20A0F">
            <w:pPr>
              <w:rPr>
                <w:szCs w:val="24"/>
                <w:lang w:val="en-GB"/>
              </w:rPr>
            </w:pPr>
            <w:r w:rsidRPr="00810627">
              <w:rPr>
                <w:szCs w:val="24"/>
                <w:lang w:val="en-GB"/>
              </w:rPr>
              <w:t>DMARDs</w:t>
            </w:r>
          </w:p>
        </w:tc>
        <w:tc>
          <w:tcPr>
            <w:tcW w:w="3170" w:type="dxa"/>
          </w:tcPr>
          <w:p w14:paraId="52F0814D" w14:textId="2123EACB" w:rsidR="004161B9" w:rsidRPr="00810627" w:rsidRDefault="00911A75" w:rsidP="00E20A0F">
            <w:pPr>
              <w:rPr>
                <w:szCs w:val="24"/>
                <w:lang w:val="en-GB"/>
              </w:rPr>
            </w:pPr>
            <w:r w:rsidRPr="00810627">
              <w:rPr>
                <w:szCs w:val="24"/>
                <w:lang w:val="en-GB"/>
              </w:rPr>
              <w:t>ESCA</w:t>
            </w:r>
          </w:p>
        </w:tc>
      </w:tr>
      <w:tr w:rsidR="004161B9" w:rsidRPr="00810627" w14:paraId="5CB37898" w14:textId="6F9D4CDF" w:rsidTr="004161B9">
        <w:tc>
          <w:tcPr>
            <w:tcW w:w="3327" w:type="dxa"/>
          </w:tcPr>
          <w:p w14:paraId="5B692CAF" w14:textId="77777777" w:rsidR="004161B9" w:rsidRPr="00810627" w:rsidRDefault="004161B9" w:rsidP="00E20A0F">
            <w:pPr>
              <w:rPr>
                <w:szCs w:val="24"/>
                <w:lang w:val="en-GB"/>
              </w:rPr>
            </w:pPr>
            <w:r w:rsidRPr="00810627">
              <w:rPr>
                <w:szCs w:val="24"/>
                <w:lang w:val="en-GB"/>
              </w:rPr>
              <w:t>Hydroxycarbamide</w:t>
            </w:r>
          </w:p>
        </w:tc>
        <w:tc>
          <w:tcPr>
            <w:tcW w:w="3609" w:type="dxa"/>
          </w:tcPr>
          <w:p w14:paraId="6CE4212B" w14:textId="77777777" w:rsidR="004161B9" w:rsidRPr="00810627" w:rsidRDefault="004161B9" w:rsidP="00E20A0F">
            <w:pPr>
              <w:rPr>
                <w:szCs w:val="24"/>
                <w:lang w:val="en-GB"/>
              </w:rPr>
            </w:pPr>
            <w:r w:rsidRPr="00810627">
              <w:rPr>
                <w:szCs w:val="24"/>
                <w:lang w:val="en-GB"/>
              </w:rPr>
              <w:t>DMARDs</w:t>
            </w:r>
          </w:p>
        </w:tc>
        <w:tc>
          <w:tcPr>
            <w:tcW w:w="3170" w:type="dxa"/>
          </w:tcPr>
          <w:p w14:paraId="009B086B" w14:textId="79F33048" w:rsidR="004161B9" w:rsidRPr="00810627" w:rsidRDefault="00911A75" w:rsidP="00E20A0F">
            <w:pPr>
              <w:rPr>
                <w:szCs w:val="24"/>
                <w:lang w:val="en-GB"/>
              </w:rPr>
            </w:pPr>
            <w:r w:rsidRPr="00810627">
              <w:rPr>
                <w:szCs w:val="24"/>
                <w:lang w:val="en-GB"/>
              </w:rPr>
              <w:t>ESCA</w:t>
            </w:r>
          </w:p>
        </w:tc>
      </w:tr>
      <w:tr w:rsidR="004161B9" w:rsidRPr="00810627" w14:paraId="11696455" w14:textId="569E98A8" w:rsidTr="004161B9">
        <w:tc>
          <w:tcPr>
            <w:tcW w:w="3327" w:type="dxa"/>
          </w:tcPr>
          <w:p w14:paraId="6C265694" w14:textId="77777777" w:rsidR="004161B9" w:rsidRPr="00810627" w:rsidRDefault="004161B9" w:rsidP="00E20A0F">
            <w:pPr>
              <w:rPr>
                <w:szCs w:val="24"/>
                <w:lang w:val="en-GB"/>
              </w:rPr>
            </w:pPr>
            <w:r w:rsidRPr="00810627">
              <w:rPr>
                <w:szCs w:val="24"/>
                <w:lang w:val="en-GB"/>
              </w:rPr>
              <w:t>Leflunomide</w:t>
            </w:r>
          </w:p>
        </w:tc>
        <w:tc>
          <w:tcPr>
            <w:tcW w:w="3609" w:type="dxa"/>
          </w:tcPr>
          <w:p w14:paraId="15D4532B" w14:textId="77777777" w:rsidR="004161B9" w:rsidRPr="00810627" w:rsidRDefault="004161B9" w:rsidP="00E20A0F">
            <w:pPr>
              <w:rPr>
                <w:szCs w:val="24"/>
                <w:lang w:val="en-GB"/>
              </w:rPr>
            </w:pPr>
            <w:r w:rsidRPr="00810627">
              <w:rPr>
                <w:szCs w:val="24"/>
                <w:lang w:val="en-GB"/>
              </w:rPr>
              <w:t>DMARDs</w:t>
            </w:r>
          </w:p>
        </w:tc>
        <w:tc>
          <w:tcPr>
            <w:tcW w:w="3170" w:type="dxa"/>
          </w:tcPr>
          <w:p w14:paraId="1D53502F" w14:textId="01902AE4" w:rsidR="004161B9" w:rsidRPr="00810627" w:rsidRDefault="00911A75" w:rsidP="00E20A0F">
            <w:pPr>
              <w:rPr>
                <w:szCs w:val="24"/>
                <w:lang w:val="en-GB"/>
              </w:rPr>
            </w:pPr>
            <w:r w:rsidRPr="00810627">
              <w:rPr>
                <w:szCs w:val="24"/>
                <w:lang w:val="en-GB"/>
              </w:rPr>
              <w:t>ESCA</w:t>
            </w:r>
          </w:p>
        </w:tc>
      </w:tr>
      <w:tr w:rsidR="004161B9" w:rsidRPr="00810627" w14:paraId="74D6CC62" w14:textId="2037D047" w:rsidTr="004161B9">
        <w:tc>
          <w:tcPr>
            <w:tcW w:w="3327" w:type="dxa"/>
          </w:tcPr>
          <w:p w14:paraId="133AC508" w14:textId="77777777" w:rsidR="004161B9" w:rsidRPr="00810627" w:rsidRDefault="004161B9" w:rsidP="00E20A0F">
            <w:pPr>
              <w:rPr>
                <w:szCs w:val="24"/>
                <w:lang w:val="en-GB"/>
              </w:rPr>
            </w:pPr>
            <w:r w:rsidRPr="00810627">
              <w:rPr>
                <w:szCs w:val="24"/>
                <w:lang w:val="en-GB"/>
              </w:rPr>
              <w:t>Mercaptopurine</w:t>
            </w:r>
          </w:p>
        </w:tc>
        <w:tc>
          <w:tcPr>
            <w:tcW w:w="3609" w:type="dxa"/>
          </w:tcPr>
          <w:p w14:paraId="50A58791" w14:textId="77777777" w:rsidR="004161B9" w:rsidRPr="00810627" w:rsidRDefault="004161B9" w:rsidP="00E20A0F">
            <w:pPr>
              <w:rPr>
                <w:szCs w:val="24"/>
                <w:lang w:val="en-GB"/>
              </w:rPr>
            </w:pPr>
            <w:r w:rsidRPr="00810627">
              <w:rPr>
                <w:szCs w:val="24"/>
                <w:lang w:val="en-GB"/>
              </w:rPr>
              <w:t>DMARDs</w:t>
            </w:r>
          </w:p>
        </w:tc>
        <w:tc>
          <w:tcPr>
            <w:tcW w:w="3170" w:type="dxa"/>
          </w:tcPr>
          <w:p w14:paraId="183DE5EC" w14:textId="12CA17EA" w:rsidR="004161B9" w:rsidRPr="00810627" w:rsidRDefault="00911A75" w:rsidP="00E20A0F">
            <w:pPr>
              <w:rPr>
                <w:szCs w:val="24"/>
                <w:lang w:val="en-GB"/>
              </w:rPr>
            </w:pPr>
            <w:r w:rsidRPr="00810627">
              <w:rPr>
                <w:szCs w:val="24"/>
                <w:lang w:val="en-GB"/>
              </w:rPr>
              <w:t>ESCA</w:t>
            </w:r>
          </w:p>
        </w:tc>
      </w:tr>
      <w:tr w:rsidR="004161B9" w:rsidRPr="00810627" w14:paraId="66F61A55" w14:textId="19AA5612" w:rsidTr="004161B9">
        <w:tc>
          <w:tcPr>
            <w:tcW w:w="3327" w:type="dxa"/>
          </w:tcPr>
          <w:p w14:paraId="6F6BCB47" w14:textId="77777777" w:rsidR="004161B9" w:rsidRPr="00810627" w:rsidRDefault="004161B9" w:rsidP="00E20A0F">
            <w:pPr>
              <w:rPr>
                <w:szCs w:val="24"/>
                <w:lang w:val="en-GB"/>
              </w:rPr>
            </w:pPr>
            <w:r w:rsidRPr="00810627">
              <w:rPr>
                <w:szCs w:val="24"/>
                <w:lang w:val="en-GB"/>
              </w:rPr>
              <w:t>Methotrexate</w:t>
            </w:r>
          </w:p>
        </w:tc>
        <w:tc>
          <w:tcPr>
            <w:tcW w:w="3609" w:type="dxa"/>
          </w:tcPr>
          <w:p w14:paraId="1562506A" w14:textId="77777777" w:rsidR="004161B9" w:rsidRPr="00810627" w:rsidRDefault="004161B9" w:rsidP="00E20A0F">
            <w:pPr>
              <w:rPr>
                <w:szCs w:val="24"/>
                <w:lang w:val="en-GB"/>
              </w:rPr>
            </w:pPr>
            <w:r w:rsidRPr="00810627">
              <w:rPr>
                <w:szCs w:val="24"/>
                <w:lang w:val="en-GB"/>
              </w:rPr>
              <w:t>DMARDs</w:t>
            </w:r>
          </w:p>
        </w:tc>
        <w:tc>
          <w:tcPr>
            <w:tcW w:w="3170" w:type="dxa"/>
          </w:tcPr>
          <w:p w14:paraId="36B4A105" w14:textId="6E04307E" w:rsidR="004161B9" w:rsidRPr="00810627" w:rsidRDefault="00911A75" w:rsidP="00E20A0F">
            <w:pPr>
              <w:rPr>
                <w:szCs w:val="24"/>
                <w:lang w:val="en-GB"/>
              </w:rPr>
            </w:pPr>
            <w:r w:rsidRPr="00810627">
              <w:rPr>
                <w:szCs w:val="24"/>
                <w:lang w:val="en-GB"/>
              </w:rPr>
              <w:t>ESCA</w:t>
            </w:r>
          </w:p>
        </w:tc>
      </w:tr>
      <w:tr w:rsidR="004161B9" w:rsidRPr="00810627" w14:paraId="71F6C3AB" w14:textId="4A92044C" w:rsidTr="004161B9">
        <w:tc>
          <w:tcPr>
            <w:tcW w:w="3327" w:type="dxa"/>
          </w:tcPr>
          <w:p w14:paraId="0A5D2651" w14:textId="77777777" w:rsidR="004161B9" w:rsidRPr="00810627" w:rsidRDefault="004161B9" w:rsidP="00E20A0F">
            <w:pPr>
              <w:rPr>
                <w:szCs w:val="24"/>
                <w:lang w:val="en-GB"/>
              </w:rPr>
            </w:pPr>
            <w:r w:rsidRPr="00810627">
              <w:rPr>
                <w:szCs w:val="24"/>
                <w:lang w:val="en-GB"/>
              </w:rPr>
              <w:t>Mycophenolate mofetil</w:t>
            </w:r>
          </w:p>
        </w:tc>
        <w:tc>
          <w:tcPr>
            <w:tcW w:w="3609" w:type="dxa"/>
          </w:tcPr>
          <w:p w14:paraId="3293B96F" w14:textId="77777777" w:rsidR="004161B9" w:rsidRPr="00810627" w:rsidRDefault="004161B9" w:rsidP="00E20A0F">
            <w:pPr>
              <w:rPr>
                <w:szCs w:val="24"/>
                <w:lang w:val="en-GB"/>
              </w:rPr>
            </w:pPr>
            <w:r w:rsidRPr="00810627">
              <w:rPr>
                <w:szCs w:val="24"/>
                <w:lang w:val="en-GB"/>
              </w:rPr>
              <w:t>DMARDs</w:t>
            </w:r>
          </w:p>
        </w:tc>
        <w:tc>
          <w:tcPr>
            <w:tcW w:w="3170" w:type="dxa"/>
          </w:tcPr>
          <w:p w14:paraId="5EBBBC63" w14:textId="31C537DD" w:rsidR="004161B9" w:rsidRPr="00810627" w:rsidRDefault="00911A75" w:rsidP="00E20A0F">
            <w:pPr>
              <w:rPr>
                <w:szCs w:val="24"/>
                <w:lang w:val="en-GB"/>
              </w:rPr>
            </w:pPr>
            <w:r w:rsidRPr="00810627">
              <w:rPr>
                <w:szCs w:val="24"/>
                <w:lang w:val="en-GB"/>
              </w:rPr>
              <w:t>ESCA</w:t>
            </w:r>
          </w:p>
        </w:tc>
      </w:tr>
      <w:tr w:rsidR="004161B9" w:rsidRPr="00810627" w14:paraId="3411A683" w14:textId="63370791" w:rsidTr="004161B9">
        <w:tc>
          <w:tcPr>
            <w:tcW w:w="3327" w:type="dxa"/>
          </w:tcPr>
          <w:p w14:paraId="22BD6365" w14:textId="77777777" w:rsidR="004161B9" w:rsidRPr="00810627" w:rsidRDefault="004161B9" w:rsidP="00E20A0F">
            <w:pPr>
              <w:rPr>
                <w:szCs w:val="24"/>
                <w:lang w:val="en-GB"/>
              </w:rPr>
            </w:pPr>
            <w:r w:rsidRPr="00810627">
              <w:rPr>
                <w:szCs w:val="24"/>
                <w:lang w:val="en-GB"/>
              </w:rPr>
              <w:t xml:space="preserve">Sulfasalazine </w:t>
            </w:r>
          </w:p>
        </w:tc>
        <w:tc>
          <w:tcPr>
            <w:tcW w:w="3609" w:type="dxa"/>
          </w:tcPr>
          <w:p w14:paraId="569ADF4C" w14:textId="77777777" w:rsidR="004161B9" w:rsidRPr="00810627" w:rsidRDefault="004161B9" w:rsidP="00E20A0F">
            <w:pPr>
              <w:rPr>
                <w:szCs w:val="24"/>
                <w:lang w:val="en-GB"/>
              </w:rPr>
            </w:pPr>
            <w:r w:rsidRPr="00810627">
              <w:rPr>
                <w:szCs w:val="24"/>
                <w:lang w:val="en-GB"/>
              </w:rPr>
              <w:t>DMARDs</w:t>
            </w:r>
          </w:p>
        </w:tc>
        <w:tc>
          <w:tcPr>
            <w:tcW w:w="3170" w:type="dxa"/>
          </w:tcPr>
          <w:p w14:paraId="512A2B34" w14:textId="75FCF2AC" w:rsidR="004161B9" w:rsidRPr="00810627" w:rsidRDefault="00911A75" w:rsidP="00E20A0F">
            <w:pPr>
              <w:rPr>
                <w:szCs w:val="24"/>
                <w:lang w:val="en-GB"/>
              </w:rPr>
            </w:pPr>
            <w:r w:rsidRPr="00810627">
              <w:rPr>
                <w:szCs w:val="24"/>
                <w:lang w:val="en-GB"/>
              </w:rPr>
              <w:t>ESCA</w:t>
            </w:r>
          </w:p>
        </w:tc>
      </w:tr>
      <w:tr w:rsidR="004161B9" w:rsidRPr="00810627" w14:paraId="13464F8B" w14:textId="59C84873" w:rsidTr="004161B9">
        <w:tc>
          <w:tcPr>
            <w:tcW w:w="3327" w:type="dxa"/>
          </w:tcPr>
          <w:p w14:paraId="242DB31A" w14:textId="77777777" w:rsidR="004161B9" w:rsidRPr="00810627" w:rsidRDefault="004161B9" w:rsidP="00E20A0F">
            <w:pPr>
              <w:rPr>
                <w:szCs w:val="24"/>
                <w:lang w:val="en-GB"/>
              </w:rPr>
            </w:pPr>
            <w:r w:rsidRPr="00810627">
              <w:rPr>
                <w:szCs w:val="24"/>
                <w:lang w:val="en-GB"/>
              </w:rPr>
              <w:t xml:space="preserve">Tacrolimus </w:t>
            </w:r>
          </w:p>
        </w:tc>
        <w:tc>
          <w:tcPr>
            <w:tcW w:w="3609" w:type="dxa"/>
          </w:tcPr>
          <w:p w14:paraId="083CB92D" w14:textId="77777777" w:rsidR="004161B9" w:rsidRPr="00810627" w:rsidRDefault="004161B9" w:rsidP="00E20A0F">
            <w:pPr>
              <w:rPr>
                <w:szCs w:val="24"/>
                <w:lang w:val="en-GB"/>
              </w:rPr>
            </w:pPr>
            <w:r w:rsidRPr="00810627">
              <w:rPr>
                <w:szCs w:val="24"/>
                <w:lang w:val="en-GB"/>
              </w:rPr>
              <w:t>DMARDs</w:t>
            </w:r>
          </w:p>
        </w:tc>
        <w:tc>
          <w:tcPr>
            <w:tcW w:w="3170" w:type="dxa"/>
          </w:tcPr>
          <w:p w14:paraId="73904675" w14:textId="03F6A514" w:rsidR="004161B9" w:rsidRPr="00810627" w:rsidRDefault="00911A75" w:rsidP="00E20A0F">
            <w:pPr>
              <w:rPr>
                <w:szCs w:val="24"/>
                <w:lang w:val="en-GB"/>
              </w:rPr>
            </w:pPr>
            <w:r w:rsidRPr="00810627">
              <w:rPr>
                <w:szCs w:val="24"/>
                <w:lang w:val="en-GB"/>
              </w:rPr>
              <w:t>ESCA</w:t>
            </w:r>
          </w:p>
        </w:tc>
      </w:tr>
      <w:tr w:rsidR="004161B9" w:rsidRPr="00810627" w14:paraId="0276B976" w14:textId="00EBD8D0" w:rsidTr="004161B9">
        <w:tc>
          <w:tcPr>
            <w:tcW w:w="3327" w:type="dxa"/>
          </w:tcPr>
          <w:p w14:paraId="0B6655BA" w14:textId="77777777" w:rsidR="004161B9" w:rsidRPr="00810627" w:rsidRDefault="004161B9" w:rsidP="00E20A0F">
            <w:pPr>
              <w:rPr>
                <w:szCs w:val="24"/>
                <w:lang w:val="en-GB"/>
              </w:rPr>
            </w:pPr>
            <w:r w:rsidRPr="00810627">
              <w:rPr>
                <w:szCs w:val="24"/>
                <w:lang w:val="en-GB"/>
              </w:rPr>
              <w:t>Lithium</w:t>
            </w:r>
          </w:p>
        </w:tc>
        <w:tc>
          <w:tcPr>
            <w:tcW w:w="3609" w:type="dxa"/>
          </w:tcPr>
          <w:p w14:paraId="6FF365F5" w14:textId="77777777" w:rsidR="004161B9" w:rsidRPr="00810627" w:rsidRDefault="004161B9" w:rsidP="00E20A0F">
            <w:pPr>
              <w:rPr>
                <w:szCs w:val="24"/>
                <w:lang w:val="en-GB"/>
              </w:rPr>
            </w:pPr>
            <w:r w:rsidRPr="00810627">
              <w:rPr>
                <w:szCs w:val="24"/>
                <w:lang w:val="en-GB"/>
              </w:rPr>
              <w:t>MH</w:t>
            </w:r>
          </w:p>
        </w:tc>
        <w:tc>
          <w:tcPr>
            <w:tcW w:w="3170" w:type="dxa"/>
          </w:tcPr>
          <w:p w14:paraId="72E96306" w14:textId="282795A8" w:rsidR="004161B9" w:rsidRPr="00810627" w:rsidRDefault="00911A75" w:rsidP="00E20A0F">
            <w:pPr>
              <w:rPr>
                <w:szCs w:val="24"/>
                <w:lang w:val="en-GB"/>
              </w:rPr>
            </w:pPr>
            <w:r w:rsidRPr="00810627">
              <w:rPr>
                <w:szCs w:val="24"/>
                <w:lang w:val="en-GB"/>
              </w:rPr>
              <w:t>ESCA</w:t>
            </w:r>
          </w:p>
        </w:tc>
      </w:tr>
      <w:tr w:rsidR="004161B9" w:rsidRPr="00810627" w14:paraId="5C9E9ACC" w14:textId="7E88D79C" w:rsidTr="004161B9">
        <w:tc>
          <w:tcPr>
            <w:tcW w:w="3327" w:type="dxa"/>
          </w:tcPr>
          <w:p w14:paraId="1FB58AE8" w14:textId="77777777" w:rsidR="004161B9" w:rsidRPr="00810627" w:rsidRDefault="004161B9" w:rsidP="00E20A0F">
            <w:pPr>
              <w:rPr>
                <w:szCs w:val="24"/>
                <w:lang w:val="en-GB"/>
              </w:rPr>
            </w:pPr>
            <w:r w:rsidRPr="00810627">
              <w:rPr>
                <w:szCs w:val="24"/>
                <w:lang w:val="en-GB"/>
              </w:rPr>
              <w:t>Antipsychotics*</w:t>
            </w:r>
          </w:p>
        </w:tc>
        <w:tc>
          <w:tcPr>
            <w:tcW w:w="3609" w:type="dxa"/>
          </w:tcPr>
          <w:p w14:paraId="129EB21D" w14:textId="32F0AD44" w:rsidR="004161B9" w:rsidRPr="00810627" w:rsidRDefault="004161B9" w:rsidP="003B1346">
            <w:pPr>
              <w:rPr>
                <w:szCs w:val="24"/>
                <w:lang w:val="en-GB"/>
              </w:rPr>
            </w:pPr>
            <w:r w:rsidRPr="00810627">
              <w:rPr>
                <w:szCs w:val="24"/>
                <w:lang w:val="en-GB"/>
              </w:rPr>
              <w:t>Schizophrenia, bipolar disorder</w:t>
            </w:r>
          </w:p>
        </w:tc>
        <w:tc>
          <w:tcPr>
            <w:tcW w:w="3170" w:type="dxa"/>
          </w:tcPr>
          <w:p w14:paraId="62C47FC5" w14:textId="1D1E6858" w:rsidR="004161B9" w:rsidRPr="00810627" w:rsidRDefault="007C2499" w:rsidP="003B1346">
            <w:pPr>
              <w:rPr>
                <w:szCs w:val="24"/>
                <w:lang w:val="en-GB"/>
              </w:rPr>
            </w:pPr>
            <w:r w:rsidRPr="00810627">
              <w:rPr>
                <w:szCs w:val="24"/>
                <w:lang w:val="en-GB"/>
              </w:rPr>
              <w:t>ESCA</w:t>
            </w:r>
          </w:p>
        </w:tc>
      </w:tr>
      <w:tr w:rsidR="004161B9" w:rsidRPr="00810627" w14:paraId="483A62DE" w14:textId="27668B66" w:rsidTr="004161B9">
        <w:tc>
          <w:tcPr>
            <w:tcW w:w="3327" w:type="dxa"/>
          </w:tcPr>
          <w:p w14:paraId="4BA55D20" w14:textId="77777777" w:rsidR="004161B9" w:rsidRPr="00810627" w:rsidRDefault="004161B9" w:rsidP="00E20A0F">
            <w:pPr>
              <w:rPr>
                <w:szCs w:val="24"/>
                <w:lang w:val="en-GB"/>
              </w:rPr>
            </w:pPr>
            <w:r w:rsidRPr="00810627">
              <w:rPr>
                <w:szCs w:val="24"/>
                <w:lang w:val="en-GB"/>
              </w:rPr>
              <w:t xml:space="preserve">Sodium Valproate for women of child bearing age </w:t>
            </w:r>
          </w:p>
        </w:tc>
        <w:tc>
          <w:tcPr>
            <w:tcW w:w="3609" w:type="dxa"/>
          </w:tcPr>
          <w:p w14:paraId="21F26660" w14:textId="77777777" w:rsidR="004161B9" w:rsidRPr="00810627" w:rsidRDefault="004161B9" w:rsidP="00E20A0F">
            <w:pPr>
              <w:rPr>
                <w:szCs w:val="24"/>
                <w:lang w:val="en-GB"/>
              </w:rPr>
            </w:pPr>
            <w:r w:rsidRPr="00810627">
              <w:rPr>
                <w:szCs w:val="24"/>
                <w:lang w:val="en-GB"/>
              </w:rPr>
              <w:t>For all licensed indications</w:t>
            </w:r>
          </w:p>
        </w:tc>
        <w:tc>
          <w:tcPr>
            <w:tcW w:w="3170" w:type="dxa"/>
          </w:tcPr>
          <w:p w14:paraId="23FE91F0" w14:textId="1F4F69FF" w:rsidR="004161B9" w:rsidRPr="00810627" w:rsidRDefault="00FB57CF" w:rsidP="00E20A0F">
            <w:pPr>
              <w:rPr>
                <w:szCs w:val="24"/>
                <w:lang w:val="en-GB"/>
              </w:rPr>
            </w:pPr>
            <w:r w:rsidRPr="00810627">
              <w:rPr>
                <w:szCs w:val="24"/>
                <w:lang w:val="en-GB"/>
              </w:rPr>
              <w:t>ESCA</w:t>
            </w:r>
          </w:p>
        </w:tc>
      </w:tr>
      <w:tr w:rsidR="004161B9" w:rsidRPr="00810627" w14:paraId="48961899" w14:textId="78315B68" w:rsidTr="004161B9">
        <w:tc>
          <w:tcPr>
            <w:tcW w:w="3327" w:type="dxa"/>
          </w:tcPr>
          <w:p w14:paraId="6D1CC1E0" w14:textId="413A79A7" w:rsidR="004161B9" w:rsidRPr="00810627" w:rsidRDefault="004161B9" w:rsidP="00E20A0F">
            <w:pPr>
              <w:rPr>
                <w:szCs w:val="24"/>
                <w:lang w:val="en-GB"/>
              </w:rPr>
            </w:pPr>
            <w:r w:rsidRPr="00810627">
              <w:rPr>
                <w:szCs w:val="24"/>
                <w:lang w:val="en-GB"/>
              </w:rPr>
              <w:t>Brivaracetam</w:t>
            </w:r>
          </w:p>
        </w:tc>
        <w:tc>
          <w:tcPr>
            <w:tcW w:w="3609" w:type="dxa"/>
          </w:tcPr>
          <w:p w14:paraId="0346A78A" w14:textId="7B59E4DD" w:rsidR="004161B9" w:rsidRPr="00810627" w:rsidRDefault="004161B9" w:rsidP="00E20A0F">
            <w:pPr>
              <w:rPr>
                <w:szCs w:val="24"/>
                <w:lang w:val="en-GB"/>
              </w:rPr>
            </w:pPr>
            <w:r w:rsidRPr="00810627">
              <w:rPr>
                <w:szCs w:val="24"/>
                <w:lang w:val="en-GB"/>
              </w:rPr>
              <w:t>Epilepsy</w:t>
            </w:r>
          </w:p>
        </w:tc>
        <w:tc>
          <w:tcPr>
            <w:tcW w:w="3170" w:type="dxa"/>
          </w:tcPr>
          <w:p w14:paraId="188C9FF7" w14:textId="77777777" w:rsidR="004161B9" w:rsidRPr="00810627" w:rsidRDefault="004161B9" w:rsidP="00E20A0F">
            <w:pPr>
              <w:rPr>
                <w:szCs w:val="24"/>
                <w:lang w:val="en-GB"/>
              </w:rPr>
            </w:pPr>
          </w:p>
        </w:tc>
      </w:tr>
      <w:tr w:rsidR="004161B9" w:rsidRPr="00810627" w14:paraId="1FA9E440" w14:textId="65E191E2" w:rsidTr="004161B9">
        <w:tc>
          <w:tcPr>
            <w:tcW w:w="3327" w:type="dxa"/>
          </w:tcPr>
          <w:p w14:paraId="49A28EC9" w14:textId="53A63FB1" w:rsidR="004161B9" w:rsidRPr="00810627" w:rsidRDefault="004161B9" w:rsidP="00E20A0F">
            <w:pPr>
              <w:rPr>
                <w:szCs w:val="24"/>
                <w:lang w:val="en-GB"/>
              </w:rPr>
            </w:pPr>
            <w:r w:rsidRPr="00810627">
              <w:rPr>
                <w:szCs w:val="24"/>
                <w:lang w:val="en-GB"/>
              </w:rPr>
              <w:t>Riluzole</w:t>
            </w:r>
          </w:p>
        </w:tc>
        <w:tc>
          <w:tcPr>
            <w:tcW w:w="3609" w:type="dxa"/>
          </w:tcPr>
          <w:p w14:paraId="7C4C8C28" w14:textId="1243B8B9" w:rsidR="004161B9" w:rsidRPr="00810627" w:rsidRDefault="004161B9" w:rsidP="00E20A0F">
            <w:pPr>
              <w:rPr>
                <w:szCs w:val="24"/>
                <w:lang w:val="en-GB"/>
              </w:rPr>
            </w:pPr>
            <w:r w:rsidRPr="00810627">
              <w:rPr>
                <w:szCs w:val="24"/>
                <w:lang w:val="en-GB"/>
              </w:rPr>
              <w:t>Motor Neurone Disease</w:t>
            </w:r>
          </w:p>
        </w:tc>
        <w:tc>
          <w:tcPr>
            <w:tcW w:w="3170" w:type="dxa"/>
          </w:tcPr>
          <w:p w14:paraId="19A66C10" w14:textId="77777777" w:rsidR="004161B9" w:rsidRPr="00810627" w:rsidRDefault="004161B9" w:rsidP="00E20A0F">
            <w:pPr>
              <w:rPr>
                <w:szCs w:val="24"/>
                <w:lang w:val="en-GB"/>
              </w:rPr>
            </w:pPr>
          </w:p>
        </w:tc>
      </w:tr>
      <w:tr w:rsidR="004161B9" w:rsidRPr="00810627" w14:paraId="58E5FE1C" w14:textId="208C56F0" w:rsidTr="004161B9">
        <w:tc>
          <w:tcPr>
            <w:tcW w:w="3327" w:type="dxa"/>
          </w:tcPr>
          <w:p w14:paraId="76E4FE72" w14:textId="0A524C3F" w:rsidR="004161B9" w:rsidRPr="00810627" w:rsidRDefault="004161B9" w:rsidP="00E20A0F">
            <w:pPr>
              <w:rPr>
                <w:szCs w:val="24"/>
                <w:lang w:val="en-GB"/>
              </w:rPr>
            </w:pPr>
            <w:r w:rsidRPr="00810627">
              <w:rPr>
                <w:szCs w:val="24"/>
                <w:lang w:val="en-GB"/>
              </w:rPr>
              <w:t>Apomorphine</w:t>
            </w:r>
          </w:p>
        </w:tc>
        <w:tc>
          <w:tcPr>
            <w:tcW w:w="3609" w:type="dxa"/>
          </w:tcPr>
          <w:p w14:paraId="4A0264E8" w14:textId="1A13F5FD" w:rsidR="004161B9" w:rsidRPr="00810627" w:rsidRDefault="004161B9" w:rsidP="00E20A0F">
            <w:pPr>
              <w:rPr>
                <w:szCs w:val="24"/>
                <w:lang w:val="en-GB"/>
              </w:rPr>
            </w:pPr>
            <w:r w:rsidRPr="00810627">
              <w:rPr>
                <w:szCs w:val="24"/>
                <w:lang w:val="en-GB"/>
              </w:rPr>
              <w:t>Parkinson’s Disease</w:t>
            </w:r>
          </w:p>
        </w:tc>
        <w:tc>
          <w:tcPr>
            <w:tcW w:w="3170" w:type="dxa"/>
          </w:tcPr>
          <w:p w14:paraId="42F006B6" w14:textId="77777777" w:rsidR="004161B9" w:rsidRPr="00810627" w:rsidRDefault="004161B9" w:rsidP="00E20A0F">
            <w:pPr>
              <w:rPr>
                <w:szCs w:val="24"/>
                <w:lang w:val="en-GB"/>
              </w:rPr>
            </w:pPr>
          </w:p>
        </w:tc>
      </w:tr>
      <w:bookmarkEnd w:id="1"/>
    </w:tbl>
    <w:p w14:paraId="449EC163" w14:textId="65B5EE72" w:rsidR="00E20A0F" w:rsidRPr="00810627" w:rsidRDefault="00E20A0F" w:rsidP="00253473">
      <w:pPr>
        <w:rPr>
          <w:szCs w:val="24"/>
          <w:lang w:val="en-GB"/>
        </w:rPr>
      </w:pPr>
    </w:p>
    <w:p w14:paraId="559DC30F" w14:textId="2050F310" w:rsidR="00E664DC" w:rsidRDefault="00E664DC" w:rsidP="00E664DC"/>
    <w:sectPr w:rsidR="00E664DC">
      <w:footerReference w:type="default" r:id="rId21"/>
      <w:pgSz w:w="11910" w:h="16840"/>
      <w:pgMar w:top="1380" w:right="700" w:bottom="1540" w:left="1320" w:header="712" w:footer="1352"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AD89ACD" w15:done="0"/>
  <w15:commentEx w15:paraId="2556B172" w15:done="0"/>
  <w15:commentEx w15:paraId="717302AC" w15:done="0"/>
  <w15:commentEx w15:paraId="725E6DE4" w15:done="0"/>
  <w15:commentEx w15:paraId="33C742AA" w15:done="0"/>
  <w15:commentEx w15:paraId="065C3F0A" w15:done="0"/>
  <w15:commentEx w15:paraId="51616D12" w15:done="0"/>
  <w15:commentEx w15:paraId="37E4CE8F" w15:done="0"/>
  <w15:commentEx w15:paraId="138247C3" w15:done="0"/>
  <w15:commentEx w15:paraId="59DCC6B4" w15:done="0"/>
  <w15:commentEx w15:paraId="5B594B88" w15:done="0"/>
  <w15:commentEx w15:paraId="42AAA50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AD89ACD" w16cid:durableId="221CBE2E"/>
  <w16cid:commentId w16cid:paraId="2556B172" w16cid:durableId="221CBEA4"/>
  <w16cid:commentId w16cid:paraId="717302AC" w16cid:durableId="221CBDA2"/>
  <w16cid:commentId w16cid:paraId="725E6DE4" w16cid:durableId="221CBFED"/>
  <w16cid:commentId w16cid:paraId="33C742AA" w16cid:durableId="221CC042"/>
  <w16cid:commentId w16cid:paraId="065C3F0A" w16cid:durableId="221CC0A6"/>
  <w16cid:commentId w16cid:paraId="51616D12" w16cid:durableId="221CC0E9"/>
  <w16cid:commentId w16cid:paraId="37E4CE8F" w16cid:durableId="221CC154"/>
  <w16cid:commentId w16cid:paraId="138247C3" w16cid:durableId="221CC19D"/>
  <w16cid:commentId w16cid:paraId="59DCC6B4" w16cid:durableId="221CC21B"/>
  <w16cid:commentId w16cid:paraId="5B594B88" w16cid:durableId="221CC359"/>
  <w16cid:commentId w16cid:paraId="42AAA509" w16cid:durableId="221CC34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53A35B" w14:textId="77777777" w:rsidR="00B04B46" w:rsidRDefault="00B04B46">
      <w:r>
        <w:separator/>
      </w:r>
    </w:p>
  </w:endnote>
  <w:endnote w:type="continuationSeparator" w:id="0">
    <w:p w14:paraId="629BE6A3" w14:textId="77777777" w:rsidR="00B04B46" w:rsidRDefault="00B04B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E184CE" w14:textId="77777777" w:rsidR="004161B9" w:rsidRDefault="004161B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7289524"/>
      <w:docPartObj>
        <w:docPartGallery w:val="Page Numbers (Bottom of Page)"/>
        <w:docPartUnique/>
      </w:docPartObj>
    </w:sdtPr>
    <w:sdtEndPr>
      <w:rPr>
        <w:noProof/>
      </w:rPr>
    </w:sdtEndPr>
    <w:sdtContent>
      <w:p w14:paraId="792434B8" w14:textId="20890F0A" w:rsidR="004161B9" w:rsidRDefault="004161B9">
        <w:pPr>
          <w:pStyle w:val="Footer"/>
          <w:jc w:val="center"/>
        </w:pPr>
        <w:r>
          <w:fldChar w:fldCharType="begin"/>
        </w:r>
        <w:r>
          <w:instrText xml:space="preserve"> PAGE   \* MERGEFORMAT </w:instrText>
        </w:r>
        <w:r>
          <w:fldChar w:fldCharType="separate"/>
        </w:r>
        <w:r w:rsidR="0048543A">
          <w:rPr>
            <w:noProof/>
          </w:rPr>
          <w:t>3</w:t>
        </w:r>
        <w:r>
          <w:rPr>
            <w:noProof/>
          </w:rPr>
          <w:fldChar w:fldCharType="end"/>
        </w:r>
      </w:p>
    </w:sdtContent>
  </w:sdt>
  <w:p w14:paraId="5B605B51" w14:textId="1E9C9C48" w:rsidR="004161B9" w:rsidRDefault="004161B9">
    <w:pPr>
      <w:pStyle w:val="BodyText"/>
      <w:spacing w:line="14" w:lineRule="auto"/>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D04E56" w14:textId="77777777" w:rsidR="004161B9" w:rsidRDefault="004161B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05E3A7" w14:textId="6D36A144" w:rsidR="004161B9" w:rsidRDefault="004161B9">
    <w:pPr>
      <w:pStyle w:val="BodyText"/>
      <w:spacing w:line="14" w:lineRule="auto"/>
      <w:rPr>
        <w:sz w:val="20"/>
      </w:rPr>
    </w:pPr>
    <w:r>
      <w:rPr>
        <w:noProof/>
        <w:lang w:val="en-GB" w:eastAsia="en-GB"/>
      </w:rPr>
      <mc:AlternateContent>
        <mc:Choice Requires="wps">
          <w:drawing>
            <wp:anchor distT="0" distB="0" distL="114300" distR="114300" simplePos="0" relativeHeight="251657216" behindDoc="1" locked="0" layoutInCell="1" allowOverlap="1" wp14:anchorId="7846A90F" wp14:editId="6214FB02">
              <wp:simplePos x="0" y="0"/>
              <wp:positionH relativeFrom="page">
                <wp:posOffset>901700</wp:posOffset>
              </wp:positionH>
              <wp:positionV relativeFrom="page">
                <wp:posOffset>9693910</wp:posOffset>
              </wp:positionV>
              <wp:extent cx="1228725" cy="374650"/>
              <wp:effectExtent l="0" t="0" r="3175"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374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C27672" w14:textId="77777777" w:rsidR="004161B9" w:rsidRDefault="004161B9">
                          <w:pPr>
                            <w:pStyle w:val="BodyText"/>
                            <w:ind w:left="20" w:right="9"/>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1pt;margin-top:763.3pt;width:96.75pt;height:2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" filled="f" stroked="f">
              <v:textbox inset="0,0,0,0">
                <w:txbxContent>
                  <w:p w14:paraId="0DC27672" w14:textId="77777777" w:rsidR="004161B9" w:rsidRDefault="004161B9">
                    <w:pPr>
                      <w:pStyle w:val="BodyText"/>
                      <w:ind w:left="20" w:right="9"/>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A51036" w14:textId="77777777" w:rsidR="00B04B46" w:rsidRDefault="00B04B46">
      <w:r>
        <w:separator/>
      </w:r>
    </w:p>
  </w:footnote>
  <w:footnote w:type="continuationSeparator" w:id="0">
    <w:p w14:paraId="39D51686" w14:textId="77777777" w:rsidR="00B04B46" w:rsidRDefault="00B04B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86A27B" w14:textId="77777777" w:rsidR="004161B9" w:rsidRDefault="004161B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CB7AA" w14:textId="4D45B425" w:rsidR="004161B9" w:rsidRDefault="004161B9">
    <w:pPr>
      <w:pStyle w:val="BodyText"/>
      <w:spacing w:line="14" w:lineRule="auto"/>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7E3346" w14:textId="77777777" w:rsidR="004161B9" w:rsidRDefault="004161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10933"/>
    <w:multiLevelType w:val="multilevel"/>
    <w:tmpl w:val="2932ED7C"/>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10BB1C4E"/>
    <w:multiLevelType w:val="hybridMultilevel"/>
    <w:tmpl w:val="F2CE6B22"/>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2">
    <w:nsid w:val="116E5472"/>
    <w:multiLevelType w:val="hybridMultilevel"/>
    <w:tmpl w:val="DBBA311A"/>
    <w:lvl w:ilvl="0" w:tplc="3E28F7B4">
      <w:start w:val="1"/>
      <w:numFmt w:val="decimal"/>
      <w:lvlText w:val="%1."/>
      <w:lvlJc w:val="left"/>
      <w:pPr>
        <w:ind w:left="252" w:hanging="360"/>
      </w:pPr>
      <w:rPr>
        <w:rFonts w:ascii="Arial" w:eastAsia="Arial" w:hAnsi="Arial" w:cs="Arial" w:hint="default"/>
        <w:spacing w:val="-1"/>
        <w:w w:val="100"/>
        <w:sz w:val="22"/>
        <w:szCs w:val="22"/>
      </w:rPr>
    </w:lvl>
    <w:lvl w:ilvl="1" w:tplc="7338B282">
      <w:numFmt w:val="bullet"/>
      <w:lvlText w:val="•"/>
      <w:lvlJc w:val="left"/>
      <w:pPr>
        <w:ind w:left="1197" w:hanging="360"/>
      </w:pPr>
      <w:rPr>
        <w:rFonts w:hint="default"/>
      </w:rPr>
    </w:lvl>
    <w:lvl w:ilvl="2" w:tplc="A006A6EA">
      <w:numFmt w:val="bullet"/>
      <w:lvlText w:val="•"/>
      <w:lvlJc w:val="left"/>
      <w:pPr>
        <w:ind w:left="2134" w:hanging="360"/>
      </w:pPr>
      <w:rPr>
        <w:rFonts w:hint="default"/>
      </w:rPr>
    </w:lvl>
    <w:lvl w:ilvl="3" w:tplc="0174FA44">
      <w:numFmt w:val="bullet"/>
      <w:lvlText w:val="•"/>
      <w:lvlJc w:val="left"/>
      <w:pPr>
        <w:ind w:left="3071" w:hanging="360"/>
      </w:pPr>
      <w:rPr>
        <w:rFonts w:hint="default"/>
      </w:rPr>
    </w:lvl>
    <w:lvl w:ilvl="4" w:tplc="8730AEBA">
      <w:numFmt w:val="bullet"/>
      <w:lvlText w:val="•"/>
      <w:lvlJc w:val="left"/>
      <w:pPr>
        <w:ind w:left="4008" w:hanging="360"/>
      </w:pPr>
      <w:rPr>
        <w:rFonts w:hint="default"/>
      </w:rPr>
    </w:lvl>
    <w:lvl w:ilvl="5" w:tplc="8694829E">
      <w:numFmt w:val="bullet"/>
      <w:lvlText w:val="•"/>
      <w:lvlJc w:val="left"/>
      <w:pPr>
        <w:ind w:left="4945" w:hanging="360"/>
      </w:pPr>
      <w:rPr>
        <w:rFonts w:hint="default"/>
      </w:rPr>
    </w:lvl>
    <w:lvl w:ilvl="6" w:tplc="66227C40">
      <w:numFmt w:val="bullet"/>
      <w:lvlText w:val="•"/>
      <w:lvlJc w:val="left"/>
      <w:pPr>
        <w:ind w:left="5882" w:hanging="360"/>
      </w:pPr>
      <w:rPr>
        <w:rFonts w:hint="default"/>
      </w:rPr>
    </w:lvl>
    <w:lvl w:ilvl="7" w:tplc="21C62696">
      <w:numFmt w:val="bullet"/>
      <w:lvlText w:val="•"/>
      <w:lvlJc w:val="left"/>
      <w:pPr>
        <w:ind w:left="6819" w:hanging="360"/>
      </w:pPr>
      <w:rPr>
        <w:rFonts w:hint="default"/>
      </w:rPr>
    </w:lvl>
    <w:lvl w:ilvl="8" w:tplc="9D66D712">
      <w:numFmt w:val="bullet"/>
      <w:lvlText w:val="•"/>
      <w:lvlJc w:val="left"/>
      <w:pPr>
        <w:ind w:left="7756" w:hanging="360"/>
      </w:pPr>
      <w:rPr>
        <w:rFonts w:hint="default"/>
      </w:rPr>
    </w:lvl>
  </w:abstractNum>
  <w:abstractNum w:abstractNumId="3">
    <w:nsid w:val="173C01C1"/>
    <w:multiLevelType w:val="multilevel"/>
    <w:tmpl w:val="A4A4AE50"/>
    <w:lvl w:ilvl="0">
      <w:start w:val="4"/>
      <w:numFmt w:val="decimal"/>
      <w:lvlText w:val="%1"/>
      <w:lvlJc w:val="left"/>
      <w:pPr>
        <w:ind w:left="847" w:hanging="744"/>
      </w:pPr>
      <w:rPr>
        <w:rFonts w:hint="default"/>
      </w:rPr>
    </w:lvl>
    <w:lvl w:ilvl="1">
      <w:start w:val="2"/>
      <w:numFmt w:val="decimal"/>
      <w:lvlText w:val="%1.%2"/>
      <w:lvlJc w:val="left"/>
      <w:pPr>
        <w:ind w:left="847" w:hanging="744"/>
      </w:pPr>
      <w:rPr>
        <w:rFonts w:ascii="Arial" w:eastAsia="Arial" w:hAnsi="Arial" w:cs="Arial" w:hint="default"/>
        <w:b/>
        <w:bCs/>
        <w:color w:val="009966"/>
        <w:w w:val="99"/>
        <w:sz w:val="24"/>
        <w:szCs w:val="24"/>
      </w:rPr>
    </w:lvl>
    <w:lvl w:ilvl="2">
      <w:numFmt w:val="bullet"/>
      <w:lvlText w:val=""/>
      <w:lvlJc w:val="left"/>
      <w:pPr>
        <w:ind w:left="823" w:hanging="360"/>
      </w:pPr>
      <w:rPr>
        <w:rFonts w:ascii="Symbol" w:eastAsia="Symbol" w:hAnsi="Symbol" w:cs="Symbol" w:hint="default"/>
        <w:w w:val="100"/>
        <w:sz w:val="24"/>
        <w:szCs w:val="24"/>
      </w:rPr>
    </w:lvl>
    <w:lvl w:ilvl="3">
      <w:numFmt w:val="bullet"/>
      <w:lvlText w:val="•"/>
      <w:lvlJc w:val="left"/>
      <w:pPr>
        <w:ind w:left="2793" w:hanging="360"/>
      </w:pPr>
      <w:rPr>
        <w:rFonts w:hint="default"/>
      </w:rPr>
    </w:lvl>
    <w:lvl w:ilvl="4">
      <w:numFmt w:val="bullet"/>
      <w:lvlText w:val="•"/>
      <w:lvlJc w:val="left"/>
      <w:pPr>
        <w:ind w:left="3770" w:hanging="360"/>
      </w:pPr>
      <w:rPr>
        <w:rFonts w:hint="default"/>
      </w:rPr>
    </w:lvl>
    <w:lvl w:ilvl="5">
      <w:numFmt w:val="bullet"/>
      <w:lvlText w:val="•"/>
      <w:lvlJc w:val="left"/>
      <w:pPr>
        <w:ind w:left="4746" w:hanging="360"/>
      </w:pPr>
      <w:rPr>
        <w:rFonts w:hint="default"/>
      </w:rPr>
    </w:lvl>
    <w:lvl w:ilvl="6">
      <w:numFmt w:val="bullet"/>
      <w:lvlText w:val="•"/>
      <w:lvlJc w:val="left"/>
      <w:pPr>
        <w:ind w:left="5723" w:hanging="360"/>
      </w:pPr>
      <w:rPr>
        <w:rFonts w:hint="default"/>
      </w:rPr>
    </w:lvl>
    <w:lvl w:ilvl="7">
      <w:numFmt w:val="bullet"/>
      <w:lvlText w:val="•"/>
      <w:lvlJc w:val="left"/>
      <w:pPr>
        <w:ind w:left="6700" w:hanging="360"/>
      </w:pPr>
      <w:rPr>
        <w:rFonts w:hint="default"/>
      </w:rPr>
    </w:lvl>
    <w:lvl w:ilvl="8">
      <w:numFmt w:val="bullet"/>
      <w:lvlText w:val="•"/>
      <w:lvlJc w:val="left"/>
      <w:pPr>
        <w:ind w:left="7676" w:hanging="360"/>
      </w:pPr>
      <w:rPr>
        <w:rFonts w:hint="default"/>
      </w:rPr>
    </w:lvl>
  </w:abstractNum>
  <w:abstractNum w:abstractNumId="4">
    <w:nsid w:val="18081E86"/>
    <w:multiLevelType w:val="multilevel"/>
    <w:tmpl w:val="9280C7A4"/>
    <w:lvl w:ilvl="0">
      <w:start w:val="2"/>
      <w:numFmt w:val="decimal"/>
      <w:lvlText w:val="%1"/>
      <w:lvlJc w:val="left"/>
      <w:pPr>
        <w:ind w:left="823" w:hanging="720"/>
      </w:pPr>
      <w:rPr>
        <w:rFonts w:hint="default"/>
      </w:rPr>
    </w:lvl>
    <w:lvl w:ilvl="1">
      <w:start w:val="1"/>
      <w:numFmt w:val="decimal"/>
      <w:lvlText w:val="%1.%2"/>
      <w:lvlJc w:val="left"/>
      <w:pPr>
        <w:ind w:left="823" w:hanging="720"/>
      </w:pPr>
      <w:rPr>
        <w:rFonts w:ascii="Arial" w:eastAsia="Arial" w:hAnsi="Arial" w:cs="Arial" w:hint="default"/>
        <w:b/>
        <w:bCs/>
        <w:color w:val="auto"/>
        <w:w w:val="99"/>
        <w:sz w:val="24"/>
        <w:szCs w:val="24"/>
      </w:rPr>
    </w:lvl>
    <w:lvl w:ilvl="2">
      <w:start w:val="2"/>
      <w:numFmt w:val="decimal"/>
      <w:lvlText w:val="%3"/>
      <w:lvlJc w:val="left"/>
      <w:pPr>
        <w:ind w:left="2066" w:hanging="1112"/>
      </w:pPr>
      <w:rPr>
        <w:rFonts w:ascii="Arial" w:eastAsia="Arial" w:hAnsi="Arial" w:cs="Arial" w:hint="default"/>
        <w:b/>
        <w:bCs/>
        <w:color w:val="auto"/>
        <w:w w:val="99"/>
        <w:sz w:val="24"/>
        <w:szCs w:val="24"/>
      </w:rPr>
    </w:lvl>
    <w:lvl w:ilvl="3">
      <w:numFmt w:val="bullet"/>
      <w:lvlText w:val="•"/>
      <w:lvlJc w:val="left"/>
      <w:pPr>
        <w:ind w:left="3742" w:hanging="1112"/>
      </w:pPr>
      <w:rPr>
        <w:rFonts w:hint="default"/>
      </w:rPr>
    </w:lvl>
    <w:lvl w:ilvl="4">
      <w:numFmt w:val="bullet"/>
      <w:lvlText w:val="•"/>
      <w:lvlJc w:val="left"/>
      <w:pPr>
        <w:ind w:left="4583" w:hanging="1112"/>
      </w:pPr>
      <w:rPr>
        <w:rFonts w:hint="default"/>
      </w:rPr>
    </w:lvl>
    <w:lvl w:ilvl="5">
      <w:numFmt w:val="bullet"/>
      <w:lvlText w:val="•"/>
      <w:lvlJc w:val="left"/>
      <w:pPr>
        <w:ind w:left="5424" w:hanging="1112"/>
      </w:pPr>
      <w:rPr>
        <w:rFonts w:hint="default"/>
      </w:rPr>
    </w:lvl>
    <w:lvl w:ilvl="6">
      <w:numFmt w:val="bullet"/>
      <w:lvlText w:val="•"/>
      <w:lvlJc w:val="left"/>
      <w:pPr>
        <w:ind w:left="6265" w:hanging="1112"/>
      </w:pPr>
      <w:rPr>
        <w:rFonts w:hint="default"/>
      </w:rPr>
    </w:lvl>
    <w:lvl w:ilvl="7">
      <w:numFmt w:val="bullet"/>
      <w:lvlText w:val="•"/>
      <w:lvlJc w:val="left"/>
      <w:pPr>
        <w:ind w:left="7106" w:hanging="1112"/>
      </w:pPr>
      <w:rPr>
        <w:rFonts w:hint="default"/>
      </w:rPr>
    </w:lvl>
    <w:lvl w:ilvl="8">
      <w:numFmt w:val="bullet"/>
      <w:lvlText w:val="•"/>
      <w:lvlJc w:val="left"/>
      <w:pPr>
        <w:ind w:left="7948" w:hanging="1112"/>
      </w:pPr>
      <w:rPr>
        <w:rFonts w:hint="default"/>
      </w:rPr>
    </w:lvl>
  </w:abstractNum>
  <w:abstractNum w:abstractNumId="5">
    <w:nsid w:val="184243E5"/>
    <w:multiLevelType w:val="multilevel"/>
    <w:tmpl w:val="EF947F5E"/>
    <w:lvl w:ilvl="0">
      <w:start w:val="3"/>
      <w:numFmt w:val="decimal"/>
      <w:lvlText w:val="%1"/>
      <w:lvlJc w:val="left"/>
      <w:pPr>
        <w:ind w:left="525" w:hanging="525"/>
      </w:pPr>
      <w:rPr>
        <w:rFonts w:hint="default"/>
        <w:b/>
      </w:rPr>
    </w:lvl>
    <w:lvl w:ilvl="1">
      <w:start w:val="2"/>
      <w:numFmt w:val="decimal"/>
      <w:lvlText w:val="%1.%2"/>
      <w:lvlJc w:val="left"/>
      <w:pPr>
        <w:ind w:left="525" w:hanging="525"/>
      </w:pPr>
      <w:rPr>
        <w:rFonts w:hint="default"/>
        <w:b/>
      </w:rPr>
    </w:lvl>
    <w:lvl w:ilvl="2">
      <w:start w:val="1"/>
      <w:numFmt w:val="bullet"/>
      <w:lvlText w:val=""/>
      <w:lvlJc w:val="left"/>
      <w:pPr>
        <w:ind w:left="720" w:hanging="720"/>
      </w:pPr>
      <w:rPr>
        <w:rFonts w:ascii="Symbol" w:hAnsi="Symbol"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6">
    <w:nsid w:val="19935406"/>
    <w:multiLevelType w:val="hybridMultilevel"/>
    <w:tmpl w:val="CBEA5F0C"/>
    <w:lvl w:ilvl="0" w:tplc="D7346C06">
      <w:start w:val="1"/>
      <w:numFmt w:val="lowerRoman"/>
      <w:lvlText w:val="%1."/>
      <w:lvlJc w:val="left"/>
      <w:pPr>
        <w:ind w:left="823" w:hanging="480"/>
        <w:jc w:val="right"/>
      </w:pPr>
      <w:rPr>
        <w:rFonts w:ascii="Arial" w:eastAsia="Arial" w:hAnsi="Arial" w:cs="Arial" w:hint="default"/>
        <w:spacing w:val="-32"/>
        <w:w w:val="99"/>
        <w:sz w:val="24"/>
        <w:szCs w:val="24"/>
      </w:rPr>
    </w:lvl>
    <w:lvl w:ilvl="1" w:tplc="BFBAC0C8">
      <w:numFmt w:val="bullet"/>
      <w:lvlText w:val="•"/>
      <w:lvlJc w:val="left"/>
      <w:pPr>
        <w:ind w:left="1701" w:hanging="480"/>
      </w:pPr>
      <w:rPr>
        <w:rFonts w:hint="default"/>
      </w:rPr>
    </w:lvl>
    <w:lvl w:ilvl="2" w:tplc="554CDA2A">
      <w:numFmt w:val="bullet"/>
      <w:lvlText w:val="•"/>
      <w:lvlJc w:val="left"/>
      <w:pPr>
        <w:ind w:left="2582" w:hanging="480"/>
      </w:pPr>
      <w:rPr>
        <w:rFonts w:hint="default"/>
      </w:rPr>
    </w:lvl>
    <w:lvl w:ilvl="3" w:tplc="3BAE01FE">
      <w:numFmt w:val="bullet"/>
      <w:lvlText w:val="•"/>
      <w:lvlJc w:val="left"/>
      <w:pPr>
        <w:ind w:left="3463" w:hanging="480"/>
      </w:pPr>
      <w:rPr>
        <w:rFonts w:hint="default"/>
      </w:rPr>
    </w:lvl>
    <w:lvl w:ilvl="4" w:tplc="E1C4CCDA">
      <w:numFmt w:val="bullet"/>
      <w:lvlText w:val="•"/>
      <w:lvlJc w:val="left"/>
      <w:pPr>
        <w:ind w:left="4344" w:hanging="480"/>
      </w:pPr>
      <w:rPr>
        <w:rFonts w:hint="default"/>
      </w:rPr>
    </w:lvl>
    <w:lvl w:ilvl="5" w:tplc="44D40278">
      <w:numFmt w:val="bullet"/>
      <w:lvlText w:val="•"/>
      <w:lvlJc w:val="left"/>
      <w:pPr>
        <w:ind w:left="5225" w:hanging="480"/>
      </w:pPr>
      <w:rPr>
        <w:rFonts w:hint="default"/>
      </w:rPr>
    </w:lvl>
    <w:lvl w:ilvl="6" w:tplc="2720539C">
      <w:numFmt w:val="bullet"/>
      <w:lvlText w:val="•"/>
      <w:lvlJc w:val="left"/>
      <w:pPr>
        <w:ind w:left="6106" w:hanging="480"/>
      </w:pPr>
      <w:rPr>
        <w:rFonts w:hint="default"/>
      </w:rPr>
    </w:lvl>
    <w:lvl w:ilvl="7" w:tplc="1188CDB4">
      <w:numFmt w:val="bullet"/>
      <w:lvlText w:val="•"/>
      <w:lvlJc w:val="left"/>
      <w:pPr>
        <w:ind w:left="6987" w:hanging="480"/>
      </w:pPr>
      <w:rPr>
        <w:rFonts w:hint="default"/>
      </w:rPr>
    </w:lvl>
    <w:lvl w:ilvl="8" w:tplc="FAC636AA">
      <w:numFmt w:val="bullet"/>
      <w:lvlText w:val="•"/>
      <w:lvlJc w:val="left"/>
      <w:pPr>
        <w:ind w:left="7868" w:hanging="480"/>
      </w:pPr>
      <w:rPr>
        <w:rFonts w:hint="default"/>
      </w:rPr>
    </w:lvl>
  </w:abstractNum>
  <w:abstractNum w:abstractNumId="7">
    <w:nsid w:val="249350BA"/>
    <w:multiLevelType w:val="multilevel"/>
    <w:tmpl w:val="18E68654"/>
    <w:lvl w:ilvl="0">
      <w:start w:val="3"/>
      <w:numFmt w:val="decimal"/>
      <w:lvlText w:val="%1"/>
      <w:lvlJc w:val="left"/>
      <w:pPr>
        <w:ind w:left="525" w:hanging="525"/>
      </w:pPr>
      <w:rPr>
        <w:rFonts w:hint="default"/>
        <w:b/>
      </w:rPr>
    </w:lvl>
    <w:lvl w:ilvl="1">
      <w:start w:val="2"/>
      <w:numFmt w:val="decimal"/>
      <w:lvlText w:val="%1.%2"/>
      <w:lvlJc w:val="left"/>
      <w:pPr>
        <w:ind w:left="525" w:hanging="525"/>
      </w:pPr>
      <w:rPr>
        <w:rFonts w:hint="default"/>
        <w:b/>
      </w:rPr>
    </w:lvl>
    <w:lvl w:ilvl="2">
      <w:start w:val="1"/>
      <w:numFmt w:val="decimal"/>
      <w:lvlText w:val="%1.%2.%3"/>
      <w:lvlJc w:val="left"/>
      <w:pPr>
        <w:ind w:left="720" w:hanging="720"/>
      </w:pPr>
      <w:rPr>
        <w:rFonts w:ascii="Arial" w:hAnsi="Arial" w:cs="Arial"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nsid w:val="33AD34B3"/>
    <w:multiLevelType w:val="multilevel"/>
    <w:tmpl w:val="59825370"/>
    <w:lvl w:ilvl="0">
      <w:start w:val="3"/>
      <w:numFmt w:val="decimal"/>
      <w:lvlText w:val="%1"/>
      <w:lvlJc w:val="left"/>
      <w:pPr>
        <w:ind w:left="823" w:hanging="720"/>
      </w:pPr>
      <w:rPr>
        <w:rFonts w:hint="default"/>
      </w:rPr>
    </w:lvl>
    <w:lvl w:ilvl="1">
      <w:start w:val="3"/>
      <w:numFmt w:val="decimal"/>
      <w:lvlText w:val="%1.%2"/>
      <w:lvlJc w:val="left"/>
      <w:pPr>
        <w:ind w:left="823" w:hanging="720"/>
      </w:pPr>
      <w:rPr>
        <w:rFonts w:ascii="Arial" w:eastAsia="Arial" w:hAnsi="Arial" w:cs="Arial" w:hint="default"/>
        <w:b/>
        <w:bCs/>
        <w:color w:val="009966"/>
        <w:w w:val="99"/>
        <w:sz w:val="24"/>
        <w:szCs w:val="24"/>
      </w:rPr>
    </w:lvl>
    <w:lvl w:ilvl="2">
      <w:numFmt w:val="bullet"/>
      <w:lvlText w:val="•"/>
      <w:lvlJc w:val="left"/>
      <w:pPr>
        <w:ind w:left="2582" w:hanging="720"/>
      </w:pPr>
      <w:rPr>
        <w:rFonts w:hint="default"/>
      </w:rPr>
    </w:lvl>
    <w:lvl w:ilvl="3">
      <w:numFmt w:val="bullet"/>
      <w:lvlText w:val="•"/>
      <w:lvlJc w:val="left"/>
      <w:pPr>
        <w:ind w:left="3463" w:hanging="720"/>
      </w:pPr>
      <w:rPr>
        <w:rFonts w:hint="default"/>
      </w:rPr>
    </w:lvl>
    <w:lvl w:ilvl="4">
      <w:numFmt w:val="bullet"/>
      <w:lvlText w:val="•"/>
      <w:lvlJc w:val="left"/>
      <w:pPr>
        <w:ind w:left="4344" w:hanging="720"/>
      </w:pPr>
      <w:rPr>
        <w:rFonts w:hint="default"/>
      </w:rPr>
    </w:lvl>
    <w:lvl w:ilvl="5">
      <w:numFmt w:val="bullet"/>
      <w:lvlText w:val="•"/>
      <w:lvlJc w:val="left"/>
      <w:pPr>
        <w:ind w:left="5225" w:hanging="720"/>
      </w:pPr>
      <w:rPr>
        <w:rFonts w:hint="default"/>
      </w:rPr>
    </w:lvl>
    <w:lvl w:ilvl="6">
      <w:numFmt w:val="bullet"/>
      <w:lvlText w:val="•"/>
      <w:lvlJc w:val="left"/>
      <w:pPr>
        <w:ind w:left="6106" w:hanging="720"/>
      </w:pPr>
      <w:rPr>
        <w:rFonts w:hint="default"/>
      </w:rPr>
    </w:lvl>
    <w:lvl w:ilvl="7">
      <w:numFmt w:val="bullet"/>
      <w:lvlText w:val="•"/>
      <w:lvlJc w:val="left"/>
      <w:pPr>
        <w:ind w:left="6987" w:hanging="720"/>
      </w:pPr>
      <w:rPr>
        <w:rFonts w:hint="default"/>
      </w:rPr>
    </w:lvl>
    <w:lvl w:ilvl="8">
      <w:numFmt w:val="bullet"/>
      <w:lvlText w:val="•"/>
      <w:lvlJc w:val="left"/>
      <w:pPr>
        <w:ind w:left="7868" w:hanging="720"/>
      </w:pPr>
      <w:rPr>
        <w:rFonts w:hint="default"/>
      </w:rPr>
    </w:lvl>
  </w:abstractNum>
  <w:abstractNum w:abstractNumId="9">
    <w:nsid w:val="345A120F"/>
    <w:multiLevelType w:val="multilevel"/>
    <w:tmpl w:val="DD5250B6"/>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35FE17C1"/>
    <w:multiLevelType w:val="hybridMultilevel"/>
    <w:tmpl w:val="DB68A5E2"/>
    <w:lvl w:ilvl="0" w:tplc="753E3E0E">
      <w:start w:val="9"/>
      <w:numFmt w:val="lowerLetter"/>
      <w:lvlText w:val="%1)"/>
      <w:lvlJc w:val="left"/>
      <w:pPr>
        <w:ind w:left="1903" w:hanging="360"/>
      </w:pPr>
      <w:rPr>
        <w:rFonts w:ascii="Arial" w:eastAsia="Arial" w:hAnsi="Arial" w:cs="Arial" w:hint="default"/>
        <w:spacing w:val="-1"/>
        <w:w w:val="99"/>
        <w:sz w:val="24"/>
        <w:szCs w:val="24"/>
      </w:rPr>
    </w:lvl>
    <w:lvl w:ilvl="1" w:tplc="FBE40654">
      <w:numFmt w:val="bullet"/>
      <w:lvlText w:val="•"/>
      <w:lvlJc w:val="left"/>
      <w:pPr>
        <w:ind w:left="2673" w:hanging="360"/>
      </w:pPr>
      <w:rPr>
        <w:rFonts w:hint="default"/>
      </w:rPr>
    </w:lvl>
    <w:lvl w:ilvl="2" w:tplc="3D40323A">
      <w:numFmt w:val="bullet"/>
      <w:lvlText w:val="•"/>
      <w:lvlJc w:val="left"/>
      <w:pPr>
        <w:ind w:left="3446" w:hanging="360"/>
      </w:pPr>
      <w:rPr>
        <w:rFonts w:hint="default"/>
      </w:rPr>
    </w:lvl>
    <w:lvl w:ilvl="3" w:tplc="247E6E3A">
      <w:numFmt w:val="bullet"/>
      <w:lvlText w:val="•"/>
      <w:lvlJc w:val="left"/>
      <w:pPr>
        <w:ind w:left="4219" w:hanging="360"/>
      </w:pPr>
      <w:rPr>
        <w:rFonts w:hint="default"/>
      </w:rPr>
    </w:lvl>
    <w:lvl w:ilvl="4" w:tplc="323C7688">
      <w:numFmt w:val="bullet"/>
      <w:lvlText w:val="•"/>
      <w:lvlJc w:val="left"/>
      <w:pPr>
        <w:ind w:left="4992" w:hanging="360"/>
      </w:pPr>
      <w:rPr>
        <w:rFonts w:hint="default"/>
      </w:rPr>
    </w:lvl>
    <w:lvl w:ilvl="5" w:tplc="9F725032">
      <w:numFmt w:val="bullet"/>
      <w:lvlText w:val="•"/>
      <w:lvlJc w:val="left"/>
      <w:pPr>
        <w:ind w:left="5765" w:hanging="360"/>
      </w:pPr>
      <w:rPr>
        <w:rFonts w:hint="default"/>
      </w:rPr>
    </w:lvl>
    <w:lvl w:ilvl="6" w:tplc="06D0C34E">
      <w:numFmt w:val="bullet"/>
      <w:lvlText w:val="•"/>
      <w:lvlJc w:val="left"/>
      <w:pPr>
        <w:ind w:left="6538" w:hanging="360"/>
      </w:pPr>
      <w:rPr>
        <w:rFonts w:hint="default"/>
      </w:rPr>
    </w:lvl>
    <w:lvl w:ilvl="7" w:tplc="0DD6387A">
      <w:numFmt w:val="bullet"/>
      <w:lvlText w:val="•"/>
      <w:lvlJc w:val="left"/>
      <w:pPr>
        <w:ind w:left="7311" w:hanging="360"/>
      </w:pPr>
      <w:rPr>
        <w:rFonts w:hint="default"/>
      </w:rPr>
    </w:lvl>
    <w:lvl w:ilvl="8" w:tplc="FE326614">
      <w:numFmt w:val="bullet"/>
      <w:lvlText w:val="•"/>
      <w:lvlJc w:val="left"/>
      <w:pPr>
        <w:ind w:left="8084" w:hanging="360"/>
      </w:pPr>
      <w:rPr>
        <w:rFonts w:hint="default"/>
      </w:rPr>
    </w:lvl>
  </w:abstractNum>
  <w:abstractNum w:abstractNumId="11">
    <w:nsid w:val="361A4DC0"/>
    <w:multiLevelType w:val="hybridMultilevel"/>
    <w:tmpl w:val="E4BC8E04"/>
    <w:lvl w:ilvl="0" w:tplc="D742BCB0">
      <w:start w:val="8"/>
      <w:numFmt w:val="lowerLetter"/>
      <w:lvlText w:val="%1)"/>
      <w:lvlJc w:val="left"/>
      <w:pPr>
        <w:ind w:left="1903" w:hanging="360"/>
      </w:pPr>
      <w:rPr>
        <w:rFonts w:ascii="Arial" w:eastAsia="Arial" w:hAnsi="Arial" w:cs="Arial" w:hint="default"/>
        <w:w w:val="99"/>
        <w:sz w:val="24"/>
        <w:szCs w:val="24"/>
      </w:rPr>
    </w:lvl>
    <w:lvl w:ilvl="1" w:tplc="62A49E9C">
      <w:numFmt w:val="bullet"/>
      <w:lvlText w:val="•"/>
      <w:lvlJc w:val="left"/>
      <w:pPr>
        <w:ind w:left="2673" w:hanging="360"/>
      </w:pPr>
      <w:rPr>
        <w:rFonts w:hint="default"/>
      </w:rPr>
    </w:lvl>
    <w:lvl w:ilvl="2" w:tplc="30CEC8CC">
      <w:numFmt w:val="bullet"/>
      <w:lvlText w:val="•"/>
      <w:lvlJc w:val="left"/>
      <w:pPr>
        <w:ind w:left="3446" w:hanging="360"/>
      </w:pPr>
      <w:rPr>
        <w:rFonts w:hint="default"/>
      </w:rPr>
    </w:lvl>
    <w:lvl w:ilvl="3" w:tplc="F3324B80">
      <w:numFmt w:val="bullet"/>
      <w:lvlText w:val="•"/>
      <w:lvlJc w:val="left"/>
      <w:pPr>
        <w:ind w:left="4219" w:hanging="360"/>
      </w:pPr>
      <w:rPr>
        <w:rFonts w:hint="default"/>
      </w:rPr>
    </w:lvl>
    <w:lvl w:ilvl="4" w:tplc="051098F4">
      <w:numFmt w:val="bullet"/>
      <w:lvlText w:val="•"/>
      <w:lvlJc w:val="left"/>
      <w:pPr>
        <w:ind w:left="4992" w:hanging="360"/>
      </w:pPr>
      <w:rPr>
        <w:rFonts w:hint="default"/>
      </w:rPr>
    </w:lvl>
    <w:lvl w:ilvl="5" w:tplc="3E768744">
      <w:numFmt w:val="bullet"/>
      <w:lvlText w:val="•"/>
      <w:lvlJc w:val="left"/>
      <w:pPr>
        <w:ind w:left="5765" w:hanging="360"/>
      </w:pPr>
      <w:rPr>
        <w:rFonts w:hint="default"/>
      </w:rPr>
    </w:lvl>
    <w:lvl w:ilvl="6" w:tplc="9FB44124">
      <w:numFmt w:val="bullet"/>
      <w:lvlText w:val="•"/>
      <w:lvlJc w:val="left"/>
      <w:pPr>
        <w:ind w:left="6538" w:hanging="360"/>
      </w:pPr>
      <w:rPr>
        <w:rFonts w:hint="default"/>
      </w:rPr>
    </w:lvl>
    <w:lvl w:ilvl="7" w:tplc="97C6EC66">
      <w:numFmt w:val="bullet"/>
      <w:lvlText w:val="•"/>
      <w:lvlJc w:val="left"/>
      <w:pPr>
        <w:ind w:left="7311" w:hanging="360"/>
      </w:pPr>
      <w:rPr>
        <w:rFonts w:hint="default"/>
      </w:rPr>
    </w:lvl>
    <w:lvl w:ilvl="8" w:tplc="B93CE11C">
      <w:numFmt w:val="bullet"/>
      <w:lvlText w:val="•"/>
      <w:lvlJc w:val="left"/>
      <w:pPr>
        <w:ind w:left="8084" w:hanging="360"/>
      </w:pPr>
      <w:rPr>
        <w:rFonts w:hint="default"/>
      </w:rPr>
    </w:lvl>
  </w:abstractNum>
  <w:abstractNum w:abstractNumId="12">
    <w:nsid w:val="3DEC467A"/>
    <w:multiLevelType w:val="multilevel"/>
    <w:tmpl w:val="FDD8F184"/>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6"/>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45C67DAF"/>
    <w:multiLevelType w:val="hybridMultilevel"/>
    <w:tmpl w:val="EB0E1AD0"/>
    <w:lvl w:ilvl="0" w:tplc="E30CDB82">
      <w:start w:val="1"/>
      <w:numFmt w:val="lowerRoman"/>
      <w:lvlText w:val="%1."/>
      <w:lvlJc w:val="left"/>
      <w:pPr>
        <w:ind w:left="823" w:hanging="480"/>
        <w:jc w:val="right"/>
      </w:pPr>
      <w:rPr>
        <w:rFonts w:ascii="Arial" w:eastAsia="Arial" w:hAnsi="Arial" w:cs="Arial" w:hint="default"/>
        <w:spacing w:val="-3"/>
        <w:w w:val="99"/>
        <w:sz w:val="24"/>
        <w:szCs w:val="24"/>
      </w:rPr>
    </w:lvl>
    <w:lvl w:ilvl="1" w:tplc="C0A0323E">
      <w:numFmt w:val="bullet"/>
      <w:lvlText w:val="•"/>
      <w:lvlJc w:val="left"/>
      <w:pPr>
        <w:ind w:left="1701" w:hanging="480"/>
      </w:pPr>
      <w:rPr>
        <w:rFonts w:hint="default"/>
      </w:rPr>
    </w:lvl>
    <w:lvl w:ilvl="2" w:tplc="C42A1F10">
      <w:numFmt w:val="bullet"/>
      <w:lvlText w:val="•"/>
      <w:lvlJc w:val="left"/>
      <w:pPr>
        <w:ind w:left="2582" w:hanging="480"/>
      </w:pPr>
      <w:rPr>
        <w:rFonts w:hint="default"/>
      </w:rPr>
    </w:lvl>
    <w:lvl w:ilvl="3" w:tplc="0B82E1A8">
      <w:numFmt w:val="bullet"/>
      <w:lvlText w:val="•"/>
      <w:lvlJc w:val="left"/>
      <w:pPr>
        <w:ind w:left="3463" w:hanging="480"/>
      </w:pPr>
      <w:rPr>
        <w:rFonts w:hint="default"/>
      </w:rPr>
    </w:lvl>
    <w:lvl w:ilvl="4" w:tplc="64F0B1AA">
      <w:numFmt w:val="bullet"/>
      <w:lvlText w:val="•"/>
      <w:lvlJc w:val="left"/>
      <w:pPr>
        <w:ind w:left="4344" w:hanging="480"/>
      </w:pPr>
      <w:rPr>
        <w:rFonts w:hint="default"/>
      </w:rPr>
    </w:lvl>
    <w:lvl w:ilvl="5" w:tplc="3AF41A2E">
      <w:numFmt w:val="bullet"/>
      <w:lvlText w:val="•"/>
      <w:lvlJc w:val="left"/>
      <w:pPr>
        <w:ind w:left="5225" w:hanging="480"/>
      </w:pPr>
      <w:rPr>
        <w:rFonts w:hint="default"/>
      </w:rPr>
    </w:lvl>
    <w:lvl w:ilvl="6" w:tplc="B762D158">
      <w:numFmt w:val="bullet"/>
      <w:lvlText w:val="•"/>
      <w:lvlJc w:val="left"/>
      <w:pPr>
        <w:ind w:left="6106" w:hanging="480"/>
      </w:pPr>
      <w:rPr>
        <w:rFonts w:hint="default"/>
      </w:rPr>
    </w:lvl>
    <w:lvl w:ilvl="7" w:tplc="C68EC12E">
      <w:numFmt w:val="bullet"/>
      <w:lvlText w:val="•"/>
      <w:lvlJc w:val="left"/>
      <w:pPr>
        <w:ind w:left="6987" w:hanging="480"/>
      </w:pPr>
      <w:rPr>
        <w:rFonts w:hint="default"/>
      </w:rPr>
    </w:lvl>
    <w:lvl w:ilvl="8" w:tplc="902C8274">
      <w:numFmt w:val="bullet"/>
      <w:lvlText w:val="•"/>
      <w:lvlJc w:val="left"/>
      <w:pPr>
        <w:ind w:left="7868" w:hanging="480"/>
      </w:pPr>
      <w:rPr>
        <w:rFonts w:hint="default"/>
      </w:rPr>
    </w:lvl>
  </w:abstractNum>
  <w:abstractNum w:abstractNumId="14">
    <w:nsid w:val="462B331B"/>
    <w:multiLevelType w:val="multilevel"/>
    <w:tmpl w:val="5F689AF4"/>
    <w:lvl w:ilvl="0">
      <w:start w:val="3"/>
      <w:numFmt w:val="decimal"/>
      <w:lvlText w:val="%1"/>
      <w:lvlJc w:val="left"/>
      <w:pPr>
        <w:ind w:left="525" w:hanging="525"/>
      </w:pPr>
      <w:rPr>
        <w:rFonts w:hint="default"/>
        <w:b/>
      </w:rPr>
    </w:lvl>
    <w:lvl w:ilvl="1">
      <w:start w:val="2"/>
      <w:numFmt w:val="decimal"/>
      <w:lvlText w:val="%1.%2"/>
      <w:lvlJc w:val="left"/>
      <w:pPr>
        <w:ind w:left="525" w:hanging="525"/>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nsid w:val="4C550CCF"/>
    <w:multiLevelType w:val="hybridMultilevel"/>
    <w:tmpl w:val="1B76EA9A"/>
    <w:lvl w:ilvl="0" w:tplc="4F9C6A82">
      <w:start w:val="3"/>
      <w:numFmt w:val="bullet"/>
      <w:lvlText w:val="-"/>
      <w:lvlJc w:val="left"/>
      <w:pPr>
        <w:ind w:left="25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C6A45A6"/>
    <w:multiLevelType w:val="hybridMultilevel"/>
    <w:tmpl w:val="6AC6995C"/>
    <w:lvl w:ilvl="0" w:tplc="4F9C6A82">
      <w:start w:val="3"/>
      <w:numFmt w:val="bullet"/>
      <w:lvlText w:val="-"/>
      <w:lvlJc w:val="left"/>
      <w:pPr>
        <w:ind w:left="2520" w:hanging="360"/>
      </w:pPr>
      <w:rPr>
        <w:rFonts w:ascii="Arial" w:eastAsia="Arial" w:hAnsi="Arial" w:cs="Aria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7">
    <w:nsid w:val="4ECA6EE4"/>
    <w:multiLevelType w:val="hybridMultilevel"/>
    <w:tmpl w:val="CBEA5F0C"/>
    <w:lvl w:ilvl="0" w:tplc="D7346C06">
      <w:start w:val="1"/>
      <w:numFmt w:val="lowerRoman"/>
      <w:lvlText w:val="%1."/>
      <w:lvlJc w:val="left"/>
      <w:pPr>
        <w:ind w:left="823" w:hanging="480"/>
        <w:jc w:val="right"/>
      </w:pPr>
      <w:rPr>
        <w:rFonts w:ascii="Arial" w:eastAsia="Arial" w:hAnsi="Arial" w:cs="Arial" w:hint="default"/>
        <w:spacing w:val="-32"/>
        <w:w w:val="99"/>
        <w:sz w:val="24"/>
        <w:szCs w:val="24"/>
      </w:rPr>
    </w:lvl>
    <w:lvl w:ilvl="1" w:tplc="BFBAC0C8">
      <w:numFmt w:val="bullet"/>
      <w:lvlText w:val="•"/>
      <w:lvlJc w:val="left"/>
      <w:pPr>
        <w:ind w:left="1701" w:hanging="480"/>
      </w:pPr>
      <w:rPr>
        <w:rFonts w:hint="default"/>
      </w:rPr>
    </w:lvl>
    <w:lvl w:ilvl="2" w:tplc="554CDA2A">
      <w:numFmt w:val="bullet"/>
      <w:lvlText w:val="•"/>
      <w:lvlJc w:val="left"/>
      <w:pPr>
        <w:ind w:left="2582" w:hanging="480"/>
      </w:pPr>
      <w:rPr>
        <w:rFonts w:hint="default"/>
      </w:rPr>
    </w:lvl>
    <w:lvl w:ilvl="3" w:tplc="3BAE01FE">
      <w:numFmt w:val="bullet"/>
      <w:lvlText w:val="•"/>
      <w:lvlJc w:val="left"/>
      <w:pPr>
        <w:ind w:left="3463" w:hanging="480"/>
      </w:pPr>
      <w:rPr>
        <w:rFonts w:hint="default"/>
      </w:rPr>
    </w:lvl>
    <w:lvl w:ilvl="4" w:tplc="E1C4CCDA">
      <w:numFmt w:val="bullet"/>
      <w:lvlText w:val="•"/>
      <w:lvlJc w:val="left"/>
      <w:pPr>
        <w:ind w:left="4344" w:hanging="480"/>
      </w:pPr>
      <w:rPr>
        <w:rFonts w:hint="default"/>
      </w:rPr>
    </w:lvl>
    <w:lvl w:ilvl="5" w:tplc="44D40278">
      <w:numFmt w:val="bullet"/>
      <w:lvlText w:val="•"/>
      <w:lvlJc w:val="left"/>
      <w:pPr>
        <w:ind w:left="5225" w:hanging="480"/>
      </w:pPr>
      <w:rPr>
        <w:rFonts w:hint="default"/>
      </w:rPr>
    </w:lvl>
    <w:lvl w:ilvl="6" w:tplc="2720539C">
      <w:numFmt w:val="bullet"/>
      <w:lvlText w:val="•"/>
      <w:lvlJc w:val="left"/>
      <w:pPr>
        <w:ind w:left="6106" w:hanging="480"/>
      </w:pPr>
      <w:rPr>
        <w:rFonts w:hint="default"/>
      </w:rPr>
    </w:lvl>
    <w:lvl w:ilvl="7" w:tplc="1188CDB4">
      <w:numFmt w:val="bullet"/>
      <w:lvlText w:val="•"/>
      <w:lvlJc w:val="left"/>
      <w:pPr>
        <w:ind w:left="6987" w:hanging="480"/>
      </w:pPr>
      <w:rPr>
        <w:rFonts w:hint="default"/>
      </w:rPr>
    </w:lvl>
    <w:lvl w:ilvl="8" w:tplc="FAC636AA">
      <w:numFmt w:val="bullet"/>
      <w:lvlText w:val="•"/>
      <w:lvlJc w:val="left"/>
      <w:pPr>
        <w:ind w:left="7868" w:hanging="480"/>
      </w:pPr>
      <w:rPr>
        <w:rFonts w:hint="default"/>
      </w:rPr>
    </w:lvl>
  </w:abstractNum>
  <w:abstractNum w:abstractNumId="18">
    <w:nsid w:val="4F5F3907"/>
    <w:multiLevelType w:val="multilevel"/>
    <w:tmpl w:val="E0163E82"/>
    <w:lvl w:ilvl="0">
      <w:start w:val="1"/>
      <w:numFmt w:val="decimal"/>
      <w:lvlText w:val="%1"/>
      <w:lvlJc w:val="left"/>
      <w:pPr>
        <w:ind w:left="735" w:hanging="735"/>
      </w:pPr>
      <w:rPr>
        <w:rFonts w:hint="default"/>
      </w:rPr>
    </w:lvl>
    <w:lvl w:ilvl="1">
      <w:start w:val="1"/>
      <w:numFmt w:val="decimal"/>
      <w:lvlText w:val="%1.%2"/>
      <w:lvlJc w:val="left"/>
      <w:pPr>
        <w:ind w:left="838" w:hanging="735"/>
      </w:pPr>
      <w:rPr>
        <w:rFonts w:hint="default"/>
      </w:rPr>
    </w:lvl>
    <w:lvl w:ilvl="2">
      <w:start w:val="1"/>
      <w:numFmt w:val="decimal"/>
      <w:lvlText w:val="%1.%2.%3"/>
      <w:lvlJc w:val="left"/>
      <w:pPr>
        <w:ind w:left="941" w:hanging="735"/>
      </w:pPr>
      <w:rPr>
        <w:rFonts w:hint="default"/>
      </w:rPr>
    </w:lvl>
    <w:lvl w:ilvl="3">
      <w:start w:val="1"/>
      <w:numFmt w:val="decimal"/>
      <w:lvlText w:val="%1.%2.%3.%4"/>
      <w:lvlJc w:val="left"/>
      <w:pPr>
        <w:ind w:left="1389" w:hanging="1080"/>
      </w:pPr>
      <w:rPr>
        <w:rFonts w:hint="default"/>
      </w:rPr>
    </w:lvl>
    <w:lvl w:ilvl="4">
      <w:start w:val="1"/>
      <w:numFmt w:val="decimal"/>
      <w:lvlText w:val="%1.%2.%3.%4.%5"/>
      <w:lvlJc w:val="left"/>
      <w:pPr>
        <w:ind w:left="1492" w:hanging="1080"/>
      </w:pPr>
      <w:rPr>
        <w:rFonts w:hint="default"/>
      </w:rPr>
    </w:lvl>
    <w:lvl w:ilvl="5">
      <w:start w:val="1"/>
      <w:numFmt w:val="decimal"/>
      <w:lvlText w:val="%1.%2.%3.%4.%5.%6"/>
      <w:lvlJc w:val="left"/>
      <w:pPr>
        <w:ind w:left="1955" w:hanging="1440"/>
      </w:pPr>
      <w:rPr>
        <w:rFonts w:hint="default"/>
      </w:rPr>
    </w:lvl>
    <w:lvl w:ilvl="6">
      <w:start w:val="1"/>
      <w:numFmt w:val="decimal"/>
      <w:lvlText w:val="%1.%2.%3.%4.%5.%6.%7"/>
      <w:lvlJc w:val="left"/>
      <w:pPr>
        <w:ind w:left="2058" w:hanging="1440"/>
      </w:pPr>
      <w:rPr>
        <w:rFonts w:hint="default"/>
      </w:rPr>
    </w:lvl>
    <w:lvl w:ilvl="7">
      <w:start w:val="1"/>
      <w:numFmt w:val="decimal"/>
      <w:lvlText w:val="%1.%2.%3.%4.%5.%6.%7.%8"/>
      <w:lvlJc w:val="left"/>
      <w:pPr>
        <w:ind w:left="2521" w:hanging="1800"/>
      </w:pPr>
      <w:rPr>
        <w:rFonts w:hint="default"/>
      </w:rPr>
    </w:lvl>
    <w:lvl w:ilvl="8">
      <w:start w:val="1"/>
      <w:numFmt w:val="decimal"/>
      <w:lvlText w:val="%1.%2.%3.%4.%5.%6.%7.%8.%9"/>
      <w:lvlJc w:val="left"/>
      <w:pPr>
        <w:ind w:left="2624" w:hanging="1800"/>
      </w:pPr>
      <w:rPr>
        <w:rFonts w:hint="default"/>
      </w:rPr>
    </w:lvl>
  </w:abstractNum>
  <w:abstractNum w:abstractNumId="19">
    <w:nsid w:val="4F95492B"/>
    <w:multiLevelType w:val="hybridMultilevel"/>
    <w:tmpl w:val="8520B2E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0A874E8"/>
    <w:multiLevelType w:val="hybridMultilevel"/>
    <w:tmpl w:val="51DCD888"/>
    <w:lvl w:ilvl="0" w:tplc="67B65020">
      <w:start w:val="7"/>
      <w:numFmt w:val="lowerRoman"/>
      <w:lvlText w:val="%1."/>
      <w:lvlJc w:val="left"/>
      <w:pPr>
        <w:ind w:left="823" w:hanging="653"/>
        <w:jc w:val="right"/>
      </w:pPr>
      <w:rPr>
        <w:rFonts w:ascii="Arial" w:eastAsia="Arial" w:hAnsi="Arial" w:cs="Arial" w:hint="default"/>
        <w:spacing w:val="-3"/>
        <w:w w:val="99"/>
        <w:sz w:val="24"/>
        <w:szCs w:val="24"/>
      </w:rPr>
    </w:lvl>
    <w:lvl w:ilvl="1" w:tplc="561CC5AE">
      <w:start w:val="1"/>
      <w:numFmt w:val="lowerLetter"/>
      <w:lvlText w:val="%2)"/>
      <w:lvlJc w:val="left"/>
      <w:pPr>
        <w:ind w:left="1903" w:hanging="360"/>
      </w:pPr>
      <w:rPr>
        <w:rFonts w:ascii="Arial" w:eastAsia="Arial" w:hAnsi="Arial" w:cs="Arial" w:hint="default"/>
        <w:w w:val="99"/>
        <w:sz w:val="24"/>
        <w:szCs w:val="24"/>
      </w:rPr>
    </w:lvl>
    <w:lvl w:ilvl="2" w:tplc="1EEC9240">
      <w:numFmt w:val="bullet"/>
      <w:lvlText w:val="•"/>
      <w:lvlJc w:val="left"/>
      <w:pPr>
        <w:ind w:left="2758" w:hanging="360"/>
      </w:pPr>
      <w:rPr>
        <w:rFonts w:hint="default"/>
      </w:rPr>
    </w:lvl>
    <w:lvl w:ilvl="3" w:tplc="10B89F9C">
      <w:numFmt w:val="bullet"/>
      <w:lvlText w:val="•"/>
      <w:lvlJc w:val="left"/>
      <w:pPr>
        <w:ind w:left="3617" w:hanging="360"/>
      </w:pPr>
      <w:rPr>
        <w:rFonts w:hint="default"/>
      </w:rPr>
    </w:lvl>
    <w:lvl w:ilvl="4" w:tplc="D4D6D77E">
      <w:numFmt w:val="bullet"/>
      <w:lvlText w:val="•"/>
      <w:lvlJc w:val="left"/>
      <w:pPr>
        <w:ind w:left="4476" w:hanging="360"/>
      </w:pPr>
      <w:rPr>
        <w:rFonts w:hint="default"/>
      </w:rPr>
    </w:lvl>
    <w:lvl w:ilvl="5" w:tplc="A380E1A2">
      <w:numFmt w:val="bullet"/>
      <w:lvlText w:val="•"/>
      <w:lvlJc w:val="left"/>
      <w:pPr>
        <w:ind w:left="5335" w:hanging="360"/>
      </w:pPr>
      <w:rPr>
        <w:rFonts w:hint="default"/>
      </w:rPr>
    </w:lvl>
    <w:lvl w:ilvl="6" w:tplc="BD7A8D9C">
      <w:numFmt w:val="bullet"/>
      <w:lvlText w:val="•"/>
      <w:lvlJc w:val="left"/>
      <w:pPr>
        <w:ind w:left="6194" w:hanging="360"/>
      </w:pPr>
      <w:rPr>
        <w:rFonts w:hint="default"/>
      </w:rPr>
    </w:lvl>
    <w:lvl w:ilvl="7" w:tplc="34283268">
      <w:numFmt w:val="bullet"/>
      <w:lvlText w:val="•"/>
      <w:lvlJc w:val="left"/>
      <w:pPr>
        <w:ind w:left="7053" w:hanging="360"/>
      </w:pPr>
      <w:rPr>
        <w:rFonts w:hint="default"/>
      </w:rPr>
    </w:lvl>
    <w:lvl w:ilvl="8" w:tplc="104A5378">
      <w:numFmt w:val="bullet"/>
      <w:lvlText w:val="•"/>
      <w:lvlJc w:val="left"/>
      <w:pPr>
        <w:ind w:left="7912" w:hanging="360"/>
      </w:pPr>
      <w:rPr>
        <w:rFonts w:hint="default"/>
      </w:rPr>
    </w:lvl>
  </w:abstractNum>
  <w:abstractNum w:abstractNumId="21">
    <w:nsid w:val="52694514"/>
    <w:multiLevelType w:val="hybridMultilevel"/>
    <w:tmpl w:val="8B048D30"/>
    <w:lvl w:ilvl="0" w:tplc="E5FA6D7A">
      <w:numFmt w:val="bullet"/>
      <w:lvlText w:val=""/>
      <w:lvlJc w:val="left"/>
      <w:pPr>
        <w:ind w:left="823" w:hanging="360"/>
      </w:pPr>
      <w:rPr>
        <w:rFonts w:ascii="Symbol" w:eastAsia="Symbol" w:hAnsi="Symbol" w:cs="Symbol" w:hint="default"/>
        <w:w w:val="100"/>
        <w:sz w:val="24"/>
        <w:szCs w:val="24"/>
      </w:rPr>
    </w:lvl>
    <w:lvl w:ilvl="1" w:tplc="63260E80">
      <w:numFmt w:val="bullet"/>
      <w:lvlText w:val="•"/>
      <w:lvlJc w:val="left"/>
      <w:pPr>
        <w:ind w:left="1701" w:hanging="360"/>
      </w:pPr>
      <w:rPr>
        <w:rFonts w:hint="default"/>
      </w:rPr>
    </w:lvl>
    <w:lvl w:ilvl="2" w:tplc="9EA0C928">
      <w:numFmt w:val="bullet"/>
      <w:lvlText w:val="•"/>
      <w:lvlJc w:val="left"/>
      <w:pPr>
        <w:ind w:left="2582" w:hanging="360"/>
      </w:pPr>
      <w:rPr>
        <w:rFonts w:hint="default"/>
      </w:rPr>
    </w:lvl>
    <w:lvl w:ilvl="3" w:tplc="B86A59E2">
      <w:numFmt w:val="bullet"/>
      <w:lvlText w:val="•"/>
      <w:lvlJc w:val="left"/>
      <w:pPr>
        <w:ind w:left="3463" w:hanging="360"/>
      </w:pPr>
      <w:rPr>
        <w:rFonts w:hint="default"/>
      </w:rPr>
    </w:lvl>
    <w:lvl w:ilvl="4" w:tplc="CC5C9F7E">
      <w:numFmt w:val="bullet"/>
      <w:lvlText w:val="•"/>
      <w:lvlJc w:val="left"/>
      <w:pPr>
        <w:ind w:left="4344" w:hanging="360"/>
      </w:pPr>
      <w:rPr>
        <w:rFonts w:hint="default"/>
      </w:rPr>
    </w:lvl>
    <w:lvl w:ilvl="5" w:tplc="52AADC10">
      <w:numFmt w:val="bullet"/>
      <w:lvlText w:val="•"/>
      <w:lvlJc w:val="left"/>
      <w:pPr>
        <w:ind w:left="5225" w:hanging="360"/>
      </w:pPr>
      <w:rPr>
        <w:rFonts w:hint="default"/>
      </w:rPr>
    </w:lvl>
    <w:lvl w:ilvl="6" w:tplc="0BAC22EC">
      <w:numFmt w:val="bullet"/>
      <w:lvlText w:val="•"/>
      <w:lvlJc w:val="left"/>
      <w:pPr>
        <w:ind w:left="6106" w:hanging="360"/>
      </w:pPr>
      <w:rPr>
        <w:rFonts w:hint="default"/>
      </w:rPr>
    </w:lvl>
    <w:lvl w:ilvl="7" w:tplc="195AEDF4">
      <w:numFmt w:val="bullet"/>
      <w:lvlText w:val="•"/>
      <w:lvlJc w:val="left"/>
      <w:pPr>
        <w:ind w:left="6987" w:hanging="360"/>
      </w:pPr>
      <w:rPr>
        <w:rFonts w:hint="default"/>
      </w:rPr>
    </w:lvl>
    <w:lvl w:ilvl="8" w:tplc="6C8EEE28">
      <w:numFmt w:val="bullet"/>
      <w:lvlText w:val="•"/>
      <w:lvlJc w:val="left"/>
      <w:pPr>
        <w:ind w:left="7868" w:hanging="360"/>
      </w:pPr>
      <w:rPr>
        <w:rFonts w:hint="default"/>
      </w:rPr>
    </w:lvl>
  </w:abstractNum>
  <w:abstractNum w:abstractNumId="22">
    <w:nsid w:val="55A13B85"/>
    <w:multiLevelType w:val="hybridMultilevel"/>
    <w:tmpl w:val="4E347E9A"/>
    <w:lvl w:ilvl="0" w:tplc="D7346C06">
      <w:start w:val="1"/>
      <w:numFmt w:val="lowerRoman"/>
      <w:lvlText w:val="%1."/>
      <w:lvlJc w:val="left"/>
      <w:pPr>
        <w:ind w:left="1166" w:hanging="480"/>
        <w:jc w:val="right"/>
      </w:pPr>
      <w:rPr>
        <w:rFonts w:ascii="Arial" w:eastAsia="Arial" w:hAnsi="Arial" w:cs="Arial" w:hint="default"/>
        <w:spacing w:val="-32"/>
        <w:w w:val="99"/>
        <w:sz w:val="24"/>
        <w:szCs w:val="24"/>
      </w:rPr>
    </w:lvl>
    <w:lvl w:ilvl="1" w:tplc="08090019" w:tentative="1">
      <w:start w:val="1"/>
      <w:numFmt w:val="lowerLetter"/>
      <w:lvlText w:val="%2."/>
      <w:lvlJc w:val="left"/>
      <w:pPr>
        <w:ind w:left="1783" w:hanging="360"/>
      </w:pPr>
    </w:lvl>
    <w:lvl w:ilvl="2" w:tplc="0809001B" w:tentative="1">
      <w:start w:val="1"/>
      <w:numFmt w:val="lowerRoman"/>
      <w:lvlText w:val="%3."/>
      <w:lvlJc w:val="right"/>
      <w:pPr>
        <w:ind w:left="2503" w:hanging="180"/>
      </w:pPr>
    </w:lvl>
    <w:lvl w:ilvl="3" w:tplc="0809000F" w:tentative="1">
      <w:start w:val="1"/>
      <w:numFmt w:val="decimal"/>
      <w:lvlText w:val="%4."/>
      <w:lvlJc w:val="left"/>
      <w:pPr>
        <w:ind w:left="3223" w:hanging="360"/>
      </w:pPr>
    </w:lvl>
    <w:lvl w:ilvl="4" w:tplc="08090019" w:tentative="1">
      <w:start w:val="1"/>
      <w:numFmt w:val="lowerLetter"/>
      <w:lvlText w:val="%5."/>
      <w:lvlJc w:val="left"/>
      <w:pPr>
        <w:ind w:left="3943" w:hanging="360"/>
      </w:pPr>
    </w:lvl>
    <w:lvl w:ilvl="5" w:tplc="0809001B" w:tentative="1">
      <w:start w:val="1"/>
      <w:numFmt w:val="lowerRoman"/>
      <w:lvlText w:val="%6."/>
      <w:lvlJc w:val="right"/>
      <w:pPr>
        <w:ind w:left="4663" w:hanging="180"/>
      </w:pPr>
    </w:lvl>
    <w:lvl w:ilvl="6" w:tplc="0809000F" w:tentative="1">
      <w:start w:val="1"/>
      <w:numFmt w:val="decimal"/>
      <w:lvlText w:val="%7."/>
      <w:lvlJc w:val="left"/>
      <w:pPr>
        <w:ind w:left="5383" w:hanging="360"/>
      </w:pPr>
    </w:lvl>
    <w:lvl w:ilvl="7" w:tplc="08090019" w:tentative="1">
      <w:start w:val="1"/>
      <w:numFmt w:val="lowerLetter"/>
      <w:lvlText w:val="%8."/>
      <w:lvlJc w:val="left"/>
      <w:pPr>
        <w:ind w:left="6103" w:hanging="360"/>
      </w:pPr>
    </w:lvl>
    <w:lvl w:ilvl="8" w:tplc="0809001B" w:tentative="1">
      <w:start w:val="1"/>
      <w:numFmt w:val="lowerRoman"/>
      <w:lvlText w:val="%9."/>
      <w:lvlJc w:val="right"/>
      <w:pPr>
        <w:ind w:left="6823" w:hanging="180"/>
      </w:pPr>
    </w:lvl>
  </w:abstractNum>
  <w:abstractNum w:abstractNumId="23">
    <w:nsid w:val="5B760CC5"/>
    <w:multiLevelType w:val="hybridMultilevel"/>
    <w:tmpl w:val="3E74703E"/>
    <w:lvl w:ilvl="0" w:tplc="D7346C06">
      <w:start w:val="1"/>
      <w:numFmt w:val="lowerRoman"/>
      <w:lvlText w:val="%1."/>
      <w:lvlJc w:val="left"/>
      <w:pPr>
        <w:ind w:left="823" w:hanging="480"/>
        <w:jc w:val="right"/>
      </w:pPr>
      <w:rPr>
        <w:rFonts w:ascii="Arial" w:eastAsia="Arial" w:hAnsi="Arial" w:cs="Arial" w:hint="default"/>
        <w:spacing w:val="-32"/>
        <w:w w:val="99"/>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5ED54EC0"/>
    <w:multiLevelType w:val="hybridMultilevel"/>
    <w:tmpl w:val="DD267A5C"/>
    <w:lvl w:ilvl="0" w:tplc="08090001">
      <w:start w:val="1"/>
      <w:numFmt w:val="bullet"/>
      <w:lvlText w:val=""/>
      <w:lvlJc w:val="left"/>
      <w:pPr>
        <w:ind w:left="823" w:hanging="360"/>
      </w:pPr>
      <w:rPr>
        <w:rFonts w:ascii="Symbol" w:hAnsi="Symbol" w:hint="default"/>
      </w:rPr>
    </w:lvl>
    <w:lvl w:ilvl="1" w:tplc="08090003" w:tentative="1">
      <w:start w:val="1"/>
      <w:numFmt w:val="bullet"/>
      <w:lvlText w:val="o"/>
      <w:lvlJc w:val="left"/>
      <w:pPr>
        <w:ind w:left="1543" w:hanging="360"/>
      </w:pPr>
      <w:rPr>
        <w:rFonts w:ascii="Courier New" w:hAnsi="Courier New" w:cs="Courier New" w:hint="default"/>
      </w:rPr>
    </w:lvl>
    <w:lvl w:ilvl="2" w:tplc="08090005" w:tentative="1">
      <w:start w:val="1"/>
      <w:numFmt w:val="bullet"/>
      <w:lvlText w:val=""/>
      <w:lvlJc w:val="left"/>
      <w:pPr>
        <w:ind w:left="2263" w:hanging="360"/>
      </w:pPr>
      <w:rPr>
        <w:rFonts w:ascii="Wingdings" w:hAnsi="Wingdings" w:hint="default"/>
      </w:rPr>
    </w:lvl>
    <w:lvl w:ilvl="3" w:tplc="08090001" w:tentative="1">
      <w:start w:val="1"/>
      <w:numFmt w:val="bullet"/>
      <w:lvlText w:val=""/>
      <w:lvlJc w:val="left"/>
      <w:pPr>
        <w:ind w:left="2983" w:hanging="360"/>
      </w:pPr>
      <w:rPr>
        <w:rFonts w:ascii="Symbol" w:hAnsi="Symbol" w:hint="default"/>
      </w:rPr>
    </w:lvl>
    <w:lvl w:ilvl="4" w:tplc="08090003" w:tentative="1">
      <w:start w:val="1"/>
      <w:numFmt w:val="bullet"/>
      <w:lvlText w:val="o"/>
      <w:lvlJc w:val="left"/>
      <w:pPr>
        <w:ind w:left="3703" w:hanging="360"/>
      </w:pPr>
      <w:rPr>
        <w:rFonts w:ascii="Courier New" w:hAnsi="Courier New" w:cs="Courier New" w:hint="default"/>
      </w:rPr>
    </w:lvl>
    <w:lvl w:ilvl="5" w:tplc="08090005" w:tentative="1">
      <w:start w:val="1"/>
      <w:numFmt w:val="bullet"/>
      <w:lvlText w:val=""/>
      <w:lvlJc w:val="left"/>
      <w:pPr>
        <w:ind w:left="4423" w:hanging="360"/>
      </w:pPr>
      <w:rPr>
        <w:rFonts w:ascii="Wingdings" w:hAnsi="Wingdings" w:hint="default"/>
      </w:rPr>
    </w:lvl>
    <w:lvl w:ilvl="6" w:tplc="08090001" w:tentative="1">
      <w:start w:val="1"/>
      <w:numFmt w:val="bullet"/>
      <w:lvlText w:val=""/>
      <w:lvlJc w:val="left"/>
      <w:pPr>
        <w:ind w:left="5143" w:hanging="360"/>
      </w:pPr>
      <w:rPr>
        <w:rFonts w:ascii="Symbol" w:hAnsi="Symbol" w:hint="default"/>
      </w:rPr>
    </w:lvl>
    <w:lvl w:ilvl="7" w:tplc="08090003" w:tentative="1">
      <w:start w:val="1"/>
      <w:numFmt w:val="bullet"/>
      <w:lvlText w:val="o"/>
      <w:lvlJc w:val="left"/>
      <w:pPr>
        <w:ind w:left="5863" w:hanging="360"/>
      </w:pPr>
      <w:rPr>
        <w:rFonts w:ascii="Courier New" w:hAnsi="Courier New" w:cs="Courier New" w:hint="default"/>
      </w:rPr>
    </w:lvl>
    <w:lvl w:ilvl="8" w:tplc="08090005" w:tentative="1">
      <w:start w:val="1"/>
      <w:numFmt w:val="bullet"/>
      <w:lvlText w:val=""/>
      <w:lvlJc w:val="left"/>
      <w:pPr>
        <w:ind w:left="6583" w:hanging="360"/>
      </w:pPr>
      <w:rPr>
        <w:rFonts w:ascii="Wingdings" w:hAnsi="Wingdings" w:hint="default"/>
      </w:rPr>
    </w:lvl>
  </w:abstractNum>
  <w:abstractNum w:abstractNumId="25">
    <w:nsid w:val="6554037D"/>
    <w:multiLevelType w:val="hybridMultilevel"/>
    <w:tmpl w:val="61E617D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nsid w:val="677A7DB2"/>
    <w:multiLevelType w:val="hybridMultilevel"/>
    <w:tmpl w:val="D69CC198"/>
    <w:lvl w:ilvl="0" w:tplc="64128E5C">
      <w:start w:val="2"/>
      <w:numFmt w:val="lowerLetter"/>
      <w:lvlText w:val="%1)"/>
      <w:lvlJc w:val="left"/>
      <w:pPr>
        <w:ind w:left="1903" w:hanging="360"/>
      </w:pPr>
      <w:rPr>
        <w:rFonts w:ascii="Arial" w:eastAsia="Arial" w:hAnsi="Arial" w:cs="Arial" w:hint="default"/>
        <w:w w:val="99"/>
        <w:sz w:val="24"/>
        <w:szCs w:val="24"/>
      </w:rPr>
    </w:lvl>
    <w:lvl w:ilvl="1" w:tplc="FF4838AC">
      <w:numFmt w:val="bullet"/>
      <w:lvlText w:val="•"/>
      <w:lvlJc w:val="left"/>
      <w:pPr>
        <w:ind w:left="2673" w:hanging="360"/>
      </w:pPr>
      <w:rPr>
        <w:rFonts w:hint="default"/>
      </w:rPr>
    </w:lvl>
    <w:lvl w:ilvl="2" w:tplc="B0E01778">
      <w:numFmt w:val="bullet"/>
      <w:lvlText w:val="•"/>
      <w:lvlJc w:val="left"/>
      <w:pPr>
        <w:ind w:left="3446" w:hanging="360"/>
      </w:pPr>
      <w:rPr>
        <w:rFonts w:hint="default"/>
      </w:rPr>
    </w:lvl>
    <w:lvl w:ilvl="3" w:tplc="C7D24E08">
      <w:numFmt w:val="bullet"/>
      <w:lvlText w:val="•"/>
      <w:lvlJc w:val="left"/>
      <w:pPr>
        <w:ind w:left="4219" w:hanging="360"/>
      </w:pPr>
      <w:rPr>
        <w:rFonts w:hint="default"/>
      </w:rPr>
    </w:lvl>
    <w:lvl w:ilvl="4" w:tplc="EF0C202C">
      <w:numFmt w:val="bullet"/>
      <w:lvlText w:val="•"/>
      <w:lvlJc w:val="left"/>
      <w:pPr>
        <w:ind w:left="4992" w:hanging="360"/>
      </w:pPr>
      <w:rPr>
        <w:rFonts w:hint="default"/>
      </w:rPr>
    </w:lvl>
    <w:lvl w:ilvl="5" w:tplc="AA74B550">
      <w:numFmt w:val="bullet"/>
      <w:lvlText w:val="•"/>
      <w:lvlJc w:val="left"/>
      <w:pPr>
        <w:ind w:left="5765" w:hanging="360"/>
      </w:pPr>
      <w:rPr>
        <w:rFonts w:hint="default"/>
      </w:rPr>
    </w:lvl>
    <w:lvl w:ilvl="6" w:tplc="57C45C04">
      <w:numFmt w:val="bullet"/>
      <w:lvlText w:val="•"/>
      <w:lvlJc w:val="left"/>
      <w:pPr>
        <w:ind w:left="6538" w:hanging="360"/>
      </w:pPr>
      <w:rPr>
        <w:rFonts w:hint="default"/>
      </w:rPr>
    </w:lvl>
    <w:lvl w:ilvl="7" w:tplc="94F066EA">
      <w:numFmt w:val="bullet"/>
      <w:lvlText w:val="•"/>
      <w:lvlJc w:val="left"/>
      <w:pPr>
        <w:ind w:left="7311" w:hanging="360"/>
      </w:pPr>
      <w:rPr>
        <w:rFonts w:hint="default"/>
      </w:rPr>
    </w:lvl>
    <w:lvl w:ilvl="8" w:tplc="96A6EEC6">
      <w:numFmt w:val="bullet"/>
      <w:lvlText w:val="•"/>
      <w:lvlJc w:val="left"/>
      <w:pPr>
        <w:ind w:left="8084" w:hanging="360"/>
      </w:pPr>
      <w:rPr>
        <w:rFonts w:hint="default"/>
      </w:rPr>
    </w:lvl>
  </w:abstractNum>
  <w:abstractNum w:abstractNumId="27">
    <w:nsid w:val="685D053E"/>
    <w:multiLevelType w:val="multilevel"/>
    <w:tmpl w:val="A2B20C8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70717152"/>
    <w:multiLevelType w:val="multilevel"/>
    <w:tmpl w:val="52FA98A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7BB820DD"/>
    <w:multiLevelType w:val="hybridMultilevel"/>
    <w:tmpl w:val="D354D8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7BFA6967"/>
    <w:multiLevelType w:val="hybridMultilevel"/>
    <w:tmpl w:val="DC32026A"/>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1"/>
  </w:num>
  <w:num w:numId="3">
    <w:abstractNumId w:val="10"/>
  </w:num>
  <w:num w:numId="4">
    <w:abstractNumId w:val="21"/>
  </w:num>
  <w:num w:numId="5">
    <w:abstractNumId w:val="3"/>
  </w:num>
  <w:num w:numId="6">
    <w:abstractNumId w:val="8"/>
  </w:num>
  <w:num w:numId="7">
    <w:abstractNumId w:val="26"/>
  </w:num>
  <w:num w:numId="8">
    <w:abstractNumId w:val="20"/>
  </w:num>
  <w:num w:numId="9">
    <w:abstractNumId w:val="17"/>
  </w:num>
  <w:num w:numId="10">
    <w:abstractNumId w:val="13"/>
  </w:num>
  <w:num w:numId="11">
    <w:abstractNumId w:val="4"/>
  </w:num>
  <w:num w:numId="12">
    <w:abstractNumId w:val="18"/>
  </w:num>
  <w:num w:numId="13">
    <w:abstractNumId w:val="6"/>
  </w:num>
  <w:num w:numId="14">
    <w:abstractNumId w:val="23"/>
  </w:num>
  <w:num w:numId="15">
    <w:abstractNumId w:val="22"/>
  </w:num>
  <w:num w:numId="16">
    <w:abstractNumId w:val="14"/>
  </w:num>
  <w:num w:numId="17">
    <w:abstractNumId w:val="7"/>
  </w:num>
  <w:num w:numId="18">
    <w:abstractNumId w:val="28"/>
  </w:num>
  <w:num w:numId="19">
    <w:abstractNumId w:val="25"/>
  </w:num>
  <w:num w:numId="20">
    <w:abstractNumId w:val="16"/>
  </w:num>
  <w:num w:numId="21">
    <w:abstractNumId w:val="15"/>
  </w:num>
  <w:num w:numId="22">
    <w:abstractNumId w:val="9"/>
  </w:num>
  <w:num w:numId="23">
    <w:abstractNumId w:val="27"/>
  </w:num>
  <w:num w:numId="24">
    <w:abstractNumId w:val="29"/>
  </w:num>
  <w:num w:numId="25">
    <w:abstractNumId w:val="24"/>
  </w:num>
  <w:num w:numId="26">
    <w:abstractNumId w:val="5"/>
  </w:num>
  <w:num w:numId="27">
    <w:abstractNumId w:val="1"/>
  </w:num>
  <w:num w:numId="28">
    <w:abstractNumId w:val="0"/>
  </w:num>
  <w:num w:numId="29">
    <w:abstractNumId w:val="30"/>
  </w:num>
  <w:num w:numId="30">
    <w:abstractNumId w:val="12"/>
  </w:num>
  <w:num w:numId="31">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eborah Shepherd">
    <w15:presenceInfo w15:providerId="None" w15:userId="Deborah Shepher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69A6"/>
    <w:rsid w:val="0000163A"/>
    <w:rsid w:val="00002509"/>
    <w:rsid w:val="0000408C"/>
    <w:rsid w:val="00011B03"/>
    <w:rsid w:val="0001613E"/>
    <w:rsid w:val="000260AF"/>
    <w:rsid w:val="000369A6"/>
    <w:rsid w:val="0003750E"/>
    <w:rsid w:val="00042527"/>
    <w:rsid w:val="00050BF1"/>
    <w:rsid w:val="00053E71"/>
    <w:rsid w:val="00054ADC"/>
    <w:rsid w:val="000577E8"/>
    <w:rsid w:val="00061245"/>
    <w:rsid w:val="00063346"/>
    <w:rsid w:val="000634BB"/>
    <w:rsid w:val="00065971"/>
    <w:rsid w:val="0007096D"/>
    <w:rsid w:val="00071C59"/>
    <w:rsid w:val="000761DC"/>
    <w:rsid w:val="000800A5"/>
    <w:rsid w:val="000838C3"/>
    <w:rsid w:val="000841BC"/>
    <w:rsid w:val="00090C2C"/>
    <w:rsid w:val="000A1B35"/>
    <w:rsid w:val="000A4522"/>
    <w:rsid w:val="000B290A"/>
    <w:rsid w:val="000B2A31"/>
    <w:rsid w:val="000B2C53"/>
    <w:rsid w:val="000B4F33"/>
    <w:rsid w:val="000C1A2C"/>
    <w:rsid w:val="000D2A87"/>
    <w:rsid w:val="000E0CE9"/>
    <w:rsid w:val="000E4984"/>
    <w:rsid w:val="000E6809"/>
    <w:rsid w:val="000F1396"/>
    <w:rsid w:val="00115098"/>
    <w:rsid w:val="00116CF8"/>
    <w:rsid w:val="00122D4D"/>
    <w:rsid w:val="00127FC5"/>
    <w:rsid w:val="00130F4A"/>
    <w:rsid w:val="00153DE9"/>
    <w:rsid w:val="00153ED8"/>
    <w:rsid w:val="001545B3"/>
    <w:rsid w:val="00154DF4"/>
    <w:rsid w:val="001703AC"/>
    <w:rsid w:val="001804FD"/>
    <w:rsid w:val="00194BB2"/>
    <w:rsid w:val="00196432"/>
    <w:rsid w:val="001A3145"/>
    <w:rsid w:val="001A408B"/>
    <w:rsid w:val="001B5355"/>
    <w:rsid w:val="001C4A92"/>
    <w:rsid w:val="001D0BEB"/>
    <w:rsid w:val="001D0C58"/>
    <w:rsid w:val="001D34CA"/>
    <w:rsid w:val="001D786D"/>
    <w:rsid w:val="001E430F"/>
    <w:rsid w:val="001E7B07"/>
    <w:rsid w:val="001F38F4"/>
    <w:rsid w:val="001F63E4"/>
    <w:rsid w:val="00203F97"/>
    <w:rsid w:val="00212968"/>
    <w:rsid w:val="002143F8"/>
    <w:rsid w:val="00215D96"/>
    <w:rsid w:val="00225BBC"/>
    <w:rsid w:val="0023589A"/>
    <w:rsid w:val="00244225"/>
    <w:rsid w:val="002468CC"/>
    <w:rsid w:val="00250097"/>
    <w:rsid w:val="00253473"/>
    <w:rsid w:val="00254359"/>
    <w:rsid w:val="00283CE4"/>
    <w:rsid w:val="00290C3B"/>
    <w:rsid w:val="002B2476"/>
    <w:rsid w:val="002B2F4B"/>
    <w:rsid w:val="002D13C8"/>
    <w:rsid w:val="002D4C6D"/>
    <w:rsid w:val="002F0585"/>
    <w:rsid w:val="002F7EBC"/>
    <w:rsid w:val="003019A6"/>
    <w:rsid w:val="00301EB3"/>
    <w:rsid w:val="0030780A"/>
    <w:rsid w:val="00312568"/>
    <w:rsid w:val="00313F20"/>
    <w:rsid w:val="00316770"/>
    <w:rsid w:val="00317E5C"/>
    <w:rsid w:val="00323830"/>
    <w:rsid w:val="00333A67"/>
    <w:rsid w:val="0033527B"/>
    <w:rsid w:val="003365CC"/>
    <w:rsid w:val="00340D59"/>
    <w:rsid w:val="003413BA"/>
    <w:rsid w:val="0034650A"/>
    <w:rsid w:val="0035652D"/>
    <w:rsid w:val="0036335D"/>
    <w:rsid w:val="00365A79"/>
    <w:rsid w:val="003709A3"/>
    <w:rsid w:val="00373D2D"/>
    <w:rsid w:val="00385CA9"/>
    <w:rsid w:val="003A3D43"/>
    <w:rsid w:val="003A52A2"/>
    <w:rsid w:val="003B12D1"/>
    <w:rsid w:val="003B1346"/>
    <w:rsid w:val="003B2959"/>
    <w:rsid w:val="003B3A12"/>
    <w:rsid w:val="003B49E2"/>
    <w:rsid w:val="003C24B9"/>
    <w:rsid w:val="003E00F0"/>
    <w:rsid w:val="003E161E"/>
    <w:rsid w:val="003E733E"/>
    <w:rsid w:val="003F63EE"/>
    <w:rsid w:val="003F6420"/>
    <w:rsid w:val="003F7985"/>
    <w:rsid w:val="003F7B20"/>
    <w:rsid w:val="004047C6"/>
    <w:rsid w:val="0041172B"/>
    <w:rsid w:val="0041461E"/>
    <w:rsid w:val="004161B9"/>
    <w:rsid w:val="00435A12"/>
    <w:rsid w:val="00447331"/>
    <w:rsid w:val="00453A6C"/>
    <w:rsid w:val="00453F6C"/>
    <w:rsid w:val="00456F5E"/>
    <w:rsid w:val="00457457"/>
    <w:rsid w:val="004576BC"/>
    <w:rsid w:val="004607C4"/>
    <w:rsid w:val="00463316"/>
    <w:rsid w:val="00466019"/>
    <w:rsid w:val="0047073C"/>
    <w:rsid w:val="00474392"/>
    <w:rsid w:val="00481D7B"/>
    <w:rsid w:val="00484378"/>
    <w:rsid w:val="0048543A"/>
    <w:rsid w:val="00492198"/>
    <w:rsid w:val="00495180"/>
    <w:rsid w:val="004A184B"/>
    <w:rsid w:val="004A41DD"/>
    <w:rsid w:val="004A6B9F"/>
    <w:rsid w:val="004B2084"/>
    <w:rsid w:val="004C60DC"/>
    <w:rsid w:val="004D05C4"/>
    <w:rsid w:val="004D2E9D"/>
    <w:rsid w:val="004D3CB5"/>
    <w:rsid w:val="004E07C8"/>
    <w:rsid w:val="004E4F49"/>
    <w:rsid w:val="004E665F"/>
    <w:rsid w:val="004F257A"/>
    <w:rsid w:val="004F72C6"/>
    <w:rsid w:val="005003B8"/>
    <w:rsid w:val="00500C5C"/>
    <w:rsid w:val="00505D11"/>
    <w:rsid w:val="005122B6"/>
    <w:rsid w:val="00517F78"/>
    <w:rsid w:val="005209C6"/>
    <w:rsid w:val="00525BCC"/>
    <w:rsid w:val="00532D4A"/>
    <w:rsid w:val="00537D16"/>
    <w:rsid w:val="005434DE"/>
    <w:rsid w:val="0055131F"/>
    <w:rsid w:val="00561409"/>
    <w:rsid w:val="00562F84"/>
    <w:rsid w:val="005673D6"/>
    <w:rsid w:val="0057119C"/>
    <w:rsid w:val="00572FBB"/>
    <w:rsid w:val="005865D2"/>
    <w:rsid w:val="00593400"/>
    <w:rsid w:val="005A376B"/>
    <w:rsid w:val="005B61C7"/>
    <w:rsid w:val="005C05A5"/>
    <w:rsid w:val="005C2774"/>
    <w:rsid w:val="005D1F9E"/>
    <w:rsid w:val="005D304C"/>
    <w:rsid w:val="005D4067"/>
    <w:rsid w:val="005D7CBC"/>
    <w:rsid w:val="005E38EE"/>
    <w:rsid w:val="005E3A31"/>
    <w:rsid w:val="005F40EC"/>
    <w:rsid w:val="005F42C8"/>
    <w:rsid w:val="00606222"/>
    <w:rsid w:val="00616DC4"/>
    <w:rsid w:val="00623B1C"/>
    <w:rsid w:val="00625E55"/>
    <w:rsid w:val="00630A42"/>
    <w:rsid w:val="00630EDA"/>
    <w:rsid w:val="00640932"/>
    <w:rsid w:val="00643389"/>
    <w:rsid w:val="00643CF9"/>
    <w:rsid w:val="006450B9"/>
    <w:rsid w:val="0065502C"/>
    <w:rsid w:val="0065564A"/>
    <w:rsid w:val="0066349C"/>
    <w:rsid w:val="006636D7"/>
    <w:rsid w:val="00665147"/>
    <w:rsid w:val="0067111E"/>
    <w:rsid w:val="00671FAA"/>
    <w:rsid w:val="00671FAE"/>
    <w:rsid w:val="00687764"/>
    <w:rsid w:val="00690A56"/>
    <w:rsid w:val="00693A84"/>
    <w:rsid w:val="006B002E"/>
    <w:rsid w:val="006B43BA"/>
    <w:rsid w:val="006B49A9"/>
    <w:rsid w:val="006C1167"/>
    <w:rsid w:val="006C1493"/>
    <w:rsid w:val="006C3D9C"/>
    <w:rsid w:val="006D288A"/>
    <w:rsid w:val="006D5CEB"/>
    <w:rsid w:val="006E1B5A"/>
    <w:rsid w:val="006E5CFE"/>
    <w:rsid w:val="006F2617"/>
    <w:rsid w:val="006F28B2"/>
    <w:rsid w:val="006F4346"/>
    <w:rsid w:val="00702329"/>
    <w:rsid w:val="00702E80"/>
    <w:rsid w:val="00702F72"/>
    <w:rsid w:val="00721766"/>
    <w:rsid w:val="0072224B"/>
    <w:rsid w:val="007277C5"/>
    <w:rsid w:val="00733A98"/>
    <w:rsid w:val="0073518A"/>
    <w:rsid w:val="00740ABA"/>
    <w:rsid w:val="0074348E"/>
    <w:rsid w:val="007463DD"/>
    <w:rsid w:val="00747999"/>
    <w:rsid w:val="00754A23"/>
    <w:rsid w:val="007646D0"/>
    <w:rsid w:val="00765276"/>
    <w:rsid w:val="00767C87"/>
    <w:rsid w:val="00773A4B"/>
    <w:rsid w:val="00783064"/>
    <w:rsid w:val="00783E52"/>
    <w:rsid w:val="00787BA8"/>
    <w:rsid w:val="00795091"/>
    <w:rsid w:val="0079601F"/>
    <w:rsid w:val="007A07AA"/>
    <w:rsid w:val="007A4E59"/>
    <w:rsid w:val="007A5024"/>
    <w:rsid w:val="007A6284"/>
    <w:rsid w:val="007B1A17"/>
    <w:rsid w:val="007B42E5"/>
    <w:rsid w:val="007C02CD"/>
    <w:rsid w:val="007C2499"/>
    <w:rsid w:val="007D7443"/>
    <w:rsid w:val="007E0F95"/>
    <w:rsid w:val="007E3B94"/>
    <w:rsid w:val="007E6527"/>
    <w:rsid w:val="007F6E21"/>
    <w:rsid w:val="007F7289"/>
    <w:rsid w:val="008042E7"/>
    <w:rsid w:val="008044E7"/>
    <w:rsid w:val="00810627"/>
    <w:rsid w:val="0081077E"/>
    <w:rsid w:val="008126AB"/>
    <w:rsid w:val="008139D2"/>
    <w:rsid w:val="0082135C"/>
    <w:rsid w:val="00821582"/>
    <w:rsid w:val="00822475"/>
    <w:rsid w:val="00822969"/>
    <w:rsid w:val="008265B5"/>
    <w:rsid w:val="008376C3"/>
    <w:rsid w:val="0084047F"/>
    <w:rsid w:val="00840E1B"/>
    <w:rsid w:val="008430E8"/>
    <w:rsid w:val="008510BB"/>
    <w:rsid w:val="00855C9A"/>
    <w:rsid w:val="00882CBF"/>
    <w:rsid w:val="0088755C"/>
    <w:rsid w:val="00890B4D"/>
    <w:rsid w:val="00895E10"/>
    <w:rsid w:val="008B2B74"/>
    <w:rsid w:val="008B7366"/>
    <w:rsid w:val="008B7626"/>
    <w:rsid w:val="008C1732"/>
    <w:rsid w:val="008C4F52"/>
    <w:rsid w:val="008D0679"/>
    <w:rsid w:val="008D0906"/>
    <w:rsid w:val="008D59DA"/>
    <w:rsid w:val="008E769C"/>
    <w:rsid w:val="008F4250"/>
    <w:rsid w:val="0090171E"/>
    <w:rsid w:val="00904055"/>
    <w:rsid w:val="00911521"/>
    <w:rsid w:val="00911A75"/>
    <w:rsid w:val="009155EC"/>
    <w:rsid w:val="0091786F"/>
    <w:rsid w:val="009217DF"/>
    <w:rsid w:val="00923A41"/>
    <w:rsid w:val="009255C3"/>
    <w:rsid w:val="0093418A"/>
    <w:rsid w:val="0093459F"/>
    <w:rsid w:val="009425EE"/>
    <w:rsid w:val="00945926"/>
    <w:rsid w:val="0095029B"/>
    <w:rsid w:val="009602F4"/>
    <w:rsid w:val="00985F63"/>
    <w:rsid w:val="009861CE"/>
    <w:rsid w:val="00990D6B"/>
    <w:rsid w:val="00993D19"/>
    <w:rsid w:val="009A1AB0"/>
    <w:rsid w:val="009A599E"/>
    <w:rsid w:val="009A6DD5"/>
    <w:rsid w:val="009B35A4"/>
    <w:rsid w:val="009C0CAD"/>
    <w:rsid w:val="009D7510"/>
    <w:rsid w:val="009E096D"/>
    <w:rsid w:val="009F00AD"/>
    <w:rsid w:val="009F07C8"/>
    <w:rsid w:val="009F5EE9"/>
    <w:rsid w:val="00A04147"/>
    <w:rsid w:val="00A13A97"/>
    <w:rsid w:val="00A14836"/>
    <w:rsid w:val="00A14C46"/>
    <w:rsid w:val="00A3002F"/>
    <w:rsid w:val="00A37189"/>
    <w:rsid w:val="00A45582"/>
    <w:rsid w:val="00A549EC"/>
    <w:rsid w:val="00A56192"/>
    <w:rsid w:val="00A71FB7"/>
    <w:rsid w:val="00A94F05"/>
    <w:rsid w:val="00A953CF"/>
    <w:rsid w:val="00AA209B"/>
    <w:rsid w:val="00AA255B"/>
    <w:rsid w:val="00AA5EA7"/>
    <w:rsid w:val="00AA68F1"/>
    <w:rsid w:val="00AB0000"/>
    <w:rsid w:val="00AB26D9"/>
    <w:rsid w:val="00AB579D"/>
    <w:rsid w:val="00AB6875"/>
    <w:rsid w:val="00AC298D"/>
    <w:rsid w:val="00AC7AA4"/>
    <w:rsid w:val="00AD3C76"/>
    <w:rsid w:val="00AE2611"/>
    <w:rsid w:val="00AE723D"/>
    <w:rsid w:val="00AF6DA3"/>
    <w:rsid w:val="00B00448"/>
    <w:rsid w:val="00B01051"/>
    <w:rsid w:val="00B03AEF"/>
    <w:rsid w:val="00B04B46"/>
    <w:rsid w:val="00B062C4"/>
    <w:rsid w:val="00B210F1"/>
    <w:rsid w:val="00B26785"/>
    <w:rsid w:val="00B3269A"/>
    <w:rsid w:val="00B34E68"/>
    <w:rsid w:val="00B37090"/>
    <w:rsid w:val="00B5761D"/>
    <w:rsid w:val="00B62AE7"/>
    <w:rsid w:val="00B6382E"/>
    <w:rsid w:val="00B642A7"/>
    <w:rsid w:val="00B64E95"/>
    <w:rsid w:val="00B73542"/>
    <w:rsid w:val="00B7503D"/>
    <w:rsid w:val="00B810DB"/>
    <w:rsid w:val="00B93099"/>
    <w:rsid w:val="00BA36E8"/>
    <w:rsid w:val="00BB0B88"/>
    <w:rsid w:val="00BB1536"/>
    <w:rsid w:val="00BE325F"/>
    <w:rsid w:val="00BE366D"/>
    <w:rsid w:val="00BE7128"/>
    <w:rsid w:val="00BE7BCD"/>
    <w:rsid w:val="00BF08C1"/>
    <w:rsid w:val="00BF46E0"/>
    <w:rsid w:val="00C00DB4"/>
    <w:rsid w:val="00C0615B"/>
    <w:rsid w:val="00C15A34"/>
    <w:rsid w:val="00C16657"/>
    <w:rsid w:val="00C21D5F"/>
    <w:rsid w:val="00C21FD9"/>
    <w:rsid w:val="00C302AC"/>
    <w:rsid w:val="00C30EE6"/>
    <w:rsid w:val="00C34DA9"/>
    <w:rsid w:val="00C36651"/>
    <w:rsid w:val="00C54224"/>
    <w:rsid w:val="00C61A25"/>
    <w:rsid w:val="00C6543B"/>
    <w:rsid w:val="00C70F55"/>
    <w:rsid w:val="00C71895"/>
    <w:rsid w:val="00C7431E"/>
    <w:rsid w:val="00C83D07"/>
    <w:rsid w:val="00C85242"/>
    <w:rsid w:val="00C862AF"/>
    <w:rsid w:val="00C864B8"/>
    <w:rsid w:val="00C92C11"/>
    <w:rsid w:val="00C9436F"/>
    <w:rsid w:val="00CA30BA"/>
    <w:rsid w:val="00CA3192"/>
    <w:rsid w:val="00CA64BF"/>
    <w:rsid w:val="00CB6A66"/>
    <w:rsid w:val="00CC0C7D"/>
    <w:rsid w:val="00CE1094"/>
    <w:rsid w:val="00CE2C5D"/>
    <w:rsid w:val="00CE5F1E"/>
    <w:rsid w:val="00CF6394"/>
    <w:rsid w:val="00D00B10"/>
    <w:rsid w:val="00D131F1"/>
    <w:rsid w:val="00D14B6F"/>
    <w:rsid w:val="00D16EA9"/>
    <w:rsid w:val="00D21FBE"/>
    <w:rsid w:val="00D25EAD"/>
    <w:rsid w:val="00D27E22"/>
    <w:rsid w:val="00D27FD1"/>
    <w:rsid w:val="00D31CEE"/>
    <w:rsid w:val="00D32888"/>
    <w:rsid w:val="00D41107"/>
    <w:rsid w:val="00D4120E"/>
    <w:rsid w:val="00D431DA"/>
    <w:rsid w:val="00D47DED"/>
    <w:rsid w:val="00D52327"/>
    <w:rsid w:val="00D749D5"/>
    <w:rsid w:val="00D7570A"/>
    <w:rsid w:val="00D805BF"/>
    <w:rsid w:val="00D80B09"/>
    <w:rsid w:val="00D9258F"/>
    <w:rsid w:val="00DA0B4D"/>
    <w:rsid w:val="00DA1317"/>
    <w:rsid w:val="00DB15F7"/>
    <w:rsid w:val="00DB425B"/>
    <w:rsid w:val="00DB4602"/>
    <w:rsid w:val="00DD1D66"/>
    <w:rsid w:val="00DD2347"/>
    <w:rsid w:val="00DE707F"/>
    <w:rsid w:val="00DF0298"/>
    <w:rsid w:val="00DF13D9"/>
    <w:rsid w:val="00E064B0"/>
    <w:rsid w:val="00E12AB8"/>
    <w:rsid w:val="00E20A0F"/>
    <w:rsid w:val="00E22A84"/>
    <w:rsid w:val="00E27FF0"/>
    <w:rsid w:val="00E34B0D"/>
    <w:rsid w:val="00E36163"/>
    <w:rsid w:val="00E379B6"/>
    <w:rsid w:val="00E411C1"/>
    <w:rsid w:val="00E4410F"/>
    <w:rsid w:val="00E455C0"/>
    <w:rsid w:val="00E45AAC"/>
    <w:rsid w:val="00E46281"/>
    <w:rsid w:val="00E46AF4"/>
    <w:rsid w:val="00E52E63"/>
    <w:rsid w:val="00E56AFA"/>
    <w:rsid w:val="00E61BB2"/>
    <w:rsid w:val="00E61E83"/>
    <w:rsid w:val="00E664DC"/>
    <w:rsid w:val="00E66593"/>
    <w:rsid w:val="00E67B3F"/>
    <w:rsid w:val="00E7140A"/>
    <w:rsid w:val="00E74DF0"/>
    <w:rsid w:val="00E80666"/>
    <w:rsid w:val="00E84DEC"/>
    <w:rsid w:val="00E86DDF"/>
    <w:rsid w:val="00E953EA"/>
    <w:rsid w:val="00EA0439"/>
    <w:rsid w:val="00EA1070"/>
    <w:rsid w:val="00EB0A72"/>
    <w:rsid w:val="00EB7D7D"/>
    <w:rsid w:val="00EC1D8E"/>
    <w:rsid w:val="00EC5FFF"/>
    <w:rsid w:val="00EC7F68"/>
    <w:rsid w:val="00ED4A5E"/>
    <w:rsid w:val="00EE223C"/>
    <w:rsid w:val="00EE6563"/>
    <w:rsid w:val="00EF02B8"/>
    <w:rsid w:val="00F24FD1"/>
    <w:rsid w:val="00F4372C"/>
    <w:rsid w:val="00F463FB"/>
    <w:rsid w:val="00F530F9"/>
    <w:rsid w:val="00F7587C"/>
    <w:rsid w:val="00F75DBB"/>
    <w:rsid w:val="00F82A44"/>
    <w:rsid w:val="00F94589"/>
    <w:rsid w:val="00F95DCA"/>
    <w:rsid w:val="00F96F6B"/>
    <w:rsid w:val="00F97441"/>
    <w:rsid w:val="00FA0C68"/>
    <w:rsid w:val="00FA46EA"/>
    <w:rsid w:val="00FB029E"/>
    <w:rsid w:val="00FB57CF"/>
    <w:rsid w:val="00FB5DBD"/>
    <w:rsid w:val="00FB6A2B"/>
    <w:rsid w:val="00FB7EDB"/>
    <w:rsid w:val="00FC03AF"/>
    <w:rsid w:val="00FC15B0"/>
    <w:rsid w:val="00FD1C88"/>
    <w:rsid w:val="00FE084F"/>
    <w:rsid w:val="00FE0D56"/>
    <w:rsid w:val="00FE0DB6"/>
    <w:rsid w:val="00FE172D"/>
    <w:rsid w:val="00FE68AB"/>
    <w:rsid w:val="00FE7402"/>
    <w:rsid w:val="00FF6F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4CA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6"/>
      <w:szCs w:val="16"/>
    </w:rPr>
  </w:style>
  <w:style w:type="paragraph" w:styleId="ListParagraph">
    <w:name w:val="List Paragraph"/>
    <w:basedOn w:val="Normal"/>
    <w:uiPriority w:val="99"/>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3F798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7985"/>
    <w:rPr>
      <w:rFonts w:ascii="Segoe UI" w:eastAsia="Arial" w:hAnsi="Segoe UI" w:cs="Segoe UI"/>
      <w:sz w:val="18"/>
      <w:szCs w:val="18"/>
    </w:rPr>
  </w:style>
  <w:style w:type="paragraph" w:styleId="Header">
    <w:name w:val="header"/>
    <w:basedOn w:val="Normal"/>
    <w:link w:val="HeaderChar"/>
    <w:uiPriority w:val="99"/>
    <w:unhideWhenUsed/>
    <w:rsid w:val="003F7985"/>
    <w:pPr>
      <w:tabs>
        <w:tab w:val="center" w:pos="4513"/>
        <w:tab w:val="right" w:pos="9026"/>
      </w:tabs>
    </w:pPr>
  </w:style>
  <w:style w:type="character" w:customStyle="1" w:styleId="HeaderChar">
    <w:name w:val="Header Char"/>
    <w:basedOn w:val="DefaultParagraphFont"/>
    <w:link w:val="Header"/>
    <w:uiPriority w:val="99"/>
    <w:rsid w:val="003F7985"/>
    <w:rPr>
      <w:rFonts w:ascii="Arial" w:eastAsia="Arial" w:hAnsi="Arial" w:cs="Arial"/>
    </w:rPr>
  </w:style>
  <w:style w:type="paragraph" w:styleId="Footer">
    <w:name w:val="footer"/>
    <w:basedOn w:val="Normal"/>
    <w:link w:val="FooterChar"/>
    <w:uiPriority w:val="99"/>
    <w:unhideWhenUsed/>
    <w:rsid w:val="003F7985"/>
    <w:pPr>
      <w:tabs>
        <w:tab w:val="center" w:pos="4513"/>
        <w:tab w:val="right" w:pos="9026"/>
      </w:tabs>
    </w:pPr>
  </w:style>
  <w:style w:type="character" w:customStyle="1" w:styleId="FooterChar">
    <w:name w:val="Footer Char"/>
    <w:basedOn w:val="DefaultParagraphFont"/>
    <w:link w:val="Footer"/>
    <w:uiPriority w:val="99"/>
    <w:rsid w:val="003F7985"/>
    <w:rPr>
      <w:rFonts w:ascii="Arial" w:eastAsia="Arial" w:hAnsi="Arial" w:cs="Arial"/>
    </w:rPr>
  </w:style>
  <w:style w:type="character" w:styleId="Hyperlink">
    <w:name w:val="Hyperlink"/>
    <w:basedOn w:val="DefaultParagraphFont"/>
    <w:unhideWhenUsed/>
    <w:rsid w:val="005673D6"/>
    <w:rPr>
      <w:color w:val="0000FF" w:themeColor="hyperlink"/>
      <w:u w:val="single"/>
    </w:rPr>
  </w:style>
  <w:style w:type="character" w:customStyle="1" w:styleId="UnresolvedMention1">
    <w:name w:val="Unresolved Mention1"/>
    <w:basedOn w:val="DefaultParagraphFont"/>
    <w:uiPriority w:val="99"/>
    <w:semiHidden/>
    <w:unhideWhenUsed/>
    <w:rsid w:val="005673D6"/>
    <w:rPr>
      <w:color w:val="605E5C"/>
      <w:shd w:val="clear" w:color="auto" w:fill="E1DFDD"/>
    </w:rPr>
  </w:style>
  <w:style w:type="table" w:styleId="TableGrid">
    <w:name w:val="Table Grid"/>
    <w:basedOn w:val="TableNormal"/>
    <w:uiPriority w:val="39"/>
    <w:rsid w:val="00E20A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00448"/>
    <w:rPr>
      <w:color w:val="800080" w:themeColor="followedHyperlink"/>
      <w:u w:val="single"/>
    </w:rPr>
  </w:style>
  <w:style w:type="paragraph" w:customStyle="1" w:styleId="Default">
    <w:name w:val="Default"/>
    <w:rsid w:val="00F530F9"/>
    <w:pPr>
      <w:widowControl/>
      <w:adjustRightInd w:val="0"/>
    </w:pPr>
    <w:rPr>
      <w:rFonts w:ascii="Arial" w:hAnsi="Arial" w:cs="Arial"/>
      <w:color w:val="000000"/>
      <w:sz w:val="24"/>
      <w:szCs w:val="24"/>
      <w:lang w:val="en-GB"/>
    </w:rPr>
  </w:style>
  <w:style w:type="character" w:styleId="CommentReference">
    <w:name w:val="annotation reference"/>
    <w:basedOn w:val="DefaultParagraphFont"/>
    <w:uiPriority w:val="99"/>
    <w:semiHidden/>
    <w:unhideWhenUsed/>
    <w:rsid w:val="00E411C1"/>
    <w:rPr>
      <w:sz w:val="16"/>
      <w:szCs w:val="16"/>
    </w:rPr>
  </w:style>
  <w:style w:type="paragraph" w:styleId="CommentText">
    <w:name w:val="annotation text"/>
    <w:basedOn w:val="Normal"/>
    <w:link w:val="CommentTextChar"/>
    <w:uiPriority w:val="99"/>
    <w:semiHidden/>
    <w:unhideWhenUsed/>
    <w:rsid w:val="00E411C1"/>
    <w:rPr>
      <w:sz w:val="20"/>
      <w:szCs w:val="20"/>
    </w:rPr>
  </w:style>
  <w:style w:type="character" w:customStyle="1" w:styleId="CommentTextChar">
    <w:name w:val="Comment Text Char"/>
    <w:basedOn w:val="DefaultParagraphFont"/>
    <w:link w:val="CommentText"/>
    <w:uiPriority w:val="99"/>
    <w:semiHidden/>
    <w:rsid w:val="00E411C1"/>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E411C1"/>
    <w:rPr>
      <w:b/>
      <w:bCs/>
    </w:rPr>
  </w:style>
  <w:style w:type="character" w:customStyle="1" w:styleId="CommentSubjectChar">
    <w:name w:val="Comment Subject Char"/>
    <w:basedOn w:val="CommentTextChar"/>
    <w:link w:val="CommentSubject"/>
    <w:uiPriority w:val="99"/>
    <w:semiHidden/>
    <w:rsid w:val="00E411C1"/>
    <w:rPr>
      <w:rFonts w:ascii="Arial" w:eastAsia="Arial" w:hAnsi="Arial" w:cs="Arial"/>
      <w:b/>
      <w:bCs/>
      <w:sz w:val="20"/>
      <w:szCs w:val="20"/>
    </w:rPr>
  </w:style>
  <w:style w:type="paragraph" w:styleId="NormalWeb">
    <w:name w:val="Normal (Web)"/>
    <w:basedOn w:val="Normal"/>
    <w:uiPriority w:val="99"/>
    <w:semiHidden/>
    <w:unhideWhenUsed/>
    <w:rsid w:val="00C00DB4"/>
    <w:pPr>
      <w:widowControl/>
      <w:autoSpaceDE/>
      <w:autoSpaceDN/>
      <w:spacing w:before="100" w:beforeAutospacing="1" w:after="100" w:afterAutospacing="1"/>
    </w:pPr>
    <w:rPr>
      <w:rFonts w:ascii="Times New Roman" w:eastAsiaTheme="minorEastAsia" w:hAnsi="Times New Roman" w:cs="Times New Roman"/>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6"/>
      <w:szCs w:val="16"/>
    </w:rPr>
  </w:style>
  <w:style w:type="paragraph" w:styleId="ListParagraph">
    <w:name w:val="List Paragraph"/>
    <w:basedOn w:val="Normal"/>
    <w:uiPriority w:val="99"/>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3F798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7985"/>
    <w:rPr>
      <w:rFonts w:ascii="Segoe UI" w:eastAsia="Arial" w:hAnsi="Segoe UI" w:cs="Segoe UI"/>
      <w:sz w:val="18"/>
      <w:szCs w:val="18"/>
    </w:rPr>
  </w:style>
  <w:style w:type="paragraph" w:styleId="Header">
    <w:name w:val="header"/>
    <w:basedOn w:val="Normal"/>
    <w:link w:val="HeaderChar"/>
    <w:uiPriority w:val="99"/>
    <w:unhideWhenUsed/>
    <w:rsid w:val="003F7985"/>
    <w:pPr>
      <w:tabs>
        <w:tab w:val="center" w:pos="4513"/>
        <w:tab w:val="right" w:pos="9026"/>
      </w:tabs>
    </w:pPr>
  </w:style>
  <w:style w:type="character" w:customStyle="1" w:styleId="HeaderChar">
    <w:name w:val="Header Char"/>
    <w:basedOn w:val="DefaultParagraphFont"/>
    <w:link w:val="Header"/>
    <w:uiPriority w:val="99"/>
    <w:rsid w:val="003F7985"/>
    <w:rPr>
      <w:rFonts w:ascii="Arial" w:eastAsia="Arial" w:hAnsi="Arial" w:cs="Arial"/>
    </w:rPr>
  </w:style>
  <w:style w:type="paragraph" w:styleId="Footer">
    <w:name w:val="footer"/>
    <w:basedOn w:val="Normal"/>
    <w:link w:val="FooterChar"/>
    <w:uiPriority w:val="99"/>
    <w:unhideWhenUsed/>
    <w:rsid w:val="003F7985"/>
    <w:pPr>
      <w:tabs>
        <w:tab w:val="center" w:pos="4513"/>
        <w:tab w:val="right" w:pos="9026"/>
      </w:tabs>
    </w:pPr>
  </w:style>
  <w:style w:type="character" w:customStyle="1" w:styleId="FooterChar">
    <w:name w:val="Footer Char"/>
    <w:basedOn w:val="DefaultParagraphFont"/>
    <w:link w:val="Footer"/>
    <w:uiPriority w:val="99"/>
    <w:rsid w:val="003F7985"/>
    <w:rPr>
      <w:rFonts w:ascii="Arial" w:eastAsia="Arial" w:hAnsi="Arial" w:cs="Arial"/>
    </w:rPr>
  </w:style>
  <w:style w:type="character" w:styleId="Hyperlink">
    <w:name w:val="Hyperlink"/>
    <w:basedOn w:val="DefaultParagraphFont"/>
    <w:unhideWhenUsed/>
    <w:rsid w:val="005673D6"/>
    <w:rPr>
      <w:color w:val="0000FF" w:themeColor="hyperlink"/>
      <w:u w:val="single"/>
    </w:rPr>
  </w:style>
  <w:style w:type="character" w:customStyle="1" w:styleId="UnresolvedMention1">
    <w:name w:val="Unresolved Mention1"/>
    <w:basedOn w:val="DefaultParagraphFont"/>
    <w:uiPriority w:val="99"/>
    <w:semiHidden/>
    <w:unhideWhenUsed/>
    <w:rsid w:val="005673D6"/>
    <w:rPr>
      <w:color w:val="605E5C"/>
      <w:shd w:val="clear" w:color="auto" w:fill="E1DFDD"/>
    </w:rPr>
  </w:style>
  <w:style w:type="table" w:styleId="TableGrid">
    <w:name w:val="Table Grid"/>
    <w:basedOn w:val="TableNormal"/>
    <w:uiPriority w:val="39"/>
    <w:rsid w:val="00E20A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00448"/>
    <w:rPr>
      <w:color w:val="800080" w:themeColor="followedHyperlink"/>
      <w:u w:val="single"/>
    </w:rPr>
  </w:style>
  <w:style w:type="paragraph" w:customStyle="1" w:styleId="Default">
    <w:name w:val="Default"/>
    <w:rsid w:val="00F530F9"/>
    <w:pPr>
      <w:widowControl/>
      <w:adjustRightInd w:val="0"/>
    </w:pPr>
    <w:rPr>
      <w:rFonts w:ascii="Arial" w:hAnsi="Arial" w:cs="Arial"/>
      <w:color w:val="000000"/>
      <w:sz w:val="24"/>
      <w:szCs w:val="24"/>
      <w:lang w:val="en-GB"/>
    </w:rPr>
  </w:style>
  <w:style w:type="character" w:styleId="CommentReference">
    <w:name w:val="annotation reference"/>
    <w:basedOn w:val="DefaultParagraphFont"/>
    <w:uiPriority w:val="99"/>
    <w:semiHidden/>
    <w:unhideWhenUsed/>
    <w:rsid w:val="00E411C1"/>
    <w:rPr>
      <w:sz w:val="16"/>
      <w:szCs w:val="16"/>
    </w:rPr>
  </w:style>
  <w:style w:type="paragraph" w:styleId="CommentText">
    <w:name w:val="annotation text"/>
    <w:basedOn w:val="Normal"/>
    <w:link w:val="CommentTextChar"/>
    <w:uiPriority w:val="99"/>
    <w:semiHidden/>
    <w:unhideWhenUsed/>
    <w:rsid w:val="00E411C1"/>
    <w:rPr>
      <w:sz w:val="20"/>
      <w:szCs w:val="20"/>
    </w:rPr>
  </w:style>
  <w:style w:type="character" w:customStyle="1" w:styleId="CommentTextChar">
    <w:name w:val="Comment Text Char"/>
    <w:basedOn w:val="DefaultParagraphFont"/>
    <w:link w:val="CommentText"/>
    <w:uiPriority w:val="99"/>
    <w:semiHidden/>
    <w:rsid w:val="00E411C1"/>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E411C1"/>
    <w:rPr>
      <w:b/>
      <w:bCs/>
    </w:rPr>
  </w:style>
  <w:style w:type="character" w:customStyle="1" w:styleId="CommentSubjectChar">
    <w:name w:val="Comment Subject Char"/>
    <w:basedOn w:val="CommentTextChar"/>
    <w:link w:val="CommentSubject"/>
    <w:uiPriority w:val="99"/>
    <w:semiHidden/>
    <w:rsid w:val="00E411C1"/>
    <w:rPr>
      <w:rFonts w:ascii="Arial" w:eastAsia="Arial" w:hAnsi="Arial" w:cs="Arial"/>
      <w:b/>
      <w:bCs/>
      <w:sz w:val="20"/>
      <w:szCs w:val="20"/>
    </w:rPr>
  </w:style>
  <w:style w:type="paragraph" w:styleId="NormalWeb">
    <w:name w:val="Normal (Web)"/>
    <w:basedOn w:val="Normal"/>
    <w:uiPriority w:val="99"/>
    <w:semiHidden/>
    <w:unhideWhenUsed/>
    <w:rsid w:val="00C00DB4"/>
    <w:pPr>
      <w:widowControl/>
      <w:autoSpaceDE/>
      <w:autoSpaceDN/>
      <w:spacing w:before="100" w:beforeAutospacing="1" w:after="100" w:afterAutospacing="1"/>
    </w:pPr>
    <w:rPr>
      <w:rFonts w:ascii="Times New Roman" w:eastAsiaTheme="minorEastAsia"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16150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onlinelibrary.wiley.com/doi/full/10.1111/j.1365-2141.2011.08753.x" TargetMode="External"/><Relationship Id="rId18" Type="http://schemas.openxmlformats.org/officeDocument/2006/relationships/footer" Target="footer2.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yperlink" Target="https://www.nice.org.uk/guidance/cg180" TargetMode="External"/><Relationship Id="rId17" Type="http://schemas.openxmlformats.org/officeDocument/2006/relationships/footer" Target="footer1.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rls.npsa.nhs.uk/resources/?entryid45=59814" TargetMode="Externa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hyperlink" Target="http://guidance.nice.org.uk/"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http://www.shropshireandtelfordformulary.nhs.uk" TargetMode="External"/><Relationship Id="rId14" Type="http://schemas.openxmlformats.org/officeDocument/2006/relationships/hyperlink" Target="http://www.gmc-uk.org/guidance/index.asp" TargetMode="External"/><Relationship Id="rId22" Type="http://schemas.openxmlformats.org/officeDocument/2006/relationships/fontTable" Target="fontTable.xml"/><Relationship Id="rId27"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21F58C-2B4F-4D42-834B-DD90ACA51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4068</Words>
  <Characters>23190</Characters>
  <Application>Microsoft Office Word</Application>
  <DocSecurity>4</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WHITS</Company>
  <LinksUpToDate>false</LinksUpToDate>
  <CharactersWithSpaces>27204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Williams, Louise (Senior Information Analyst)</dc:creator>
  <cp:lastModifiedBy>Bernadette Williams</cp:lastModifiedBy>
  <cp:revision>2</cp:revision>
  <dcterms:created xsi:type="dcterms:W3CDTF">2021-01-07T13:59:00Z</dcterms:created>
  <dcterms:modified xsi:type="dcterms:W3CDTF">2021-01-07T13:59:00Z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2017-05-12T00:00:00Z</vt:filetime>
  </property>
  <property fmtid="{D5CDD505-2E9C-101B-9397-08002B2CF9AE}" pid="3" name="Creator">
    <vt:lpwstr>Microsoft® Word 2010</vt:lpwstr>
  </property>
  <property fmtid="{D5CDD505-2E9C-101B-9397-08002B2CF9AE}" pid="4" name="LastSaved">
    <vt:filetime>2019-02-28T00:00:00Z</vt:filetime>
  </property>
</Properties>
</file>